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A8" w:rsidRDefault="003E2DA8">
      <w:pPr>
        <w:jc w:val="center"/>
        <w:rPr>
          <w:b/>
          <w:sz w:val="28"/>
          <w:szCs w:val="28"/>
          <w:lang w:val="en-GB"/>
        </w:rPr>
      </w:pPr>
    </w:p>
    <w:p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rsidR="0049681F" w:rsidRPr="0049681F" w:rsidRDefault="00F21B33" w:rsidP="0049681F">
      <w:pPr>
        <w:spacing w:before="0" w:after="0"/>
        <w:jc w:val="center"/>
        <w:rPr>
          <w:bCs/>
          <w:szCs w:val="24"/>
        </w:rPr>
      </w:pPr>
      <w:r w:rsidRPr="00F21B33">
        <w:rPr>
          <w:snapToGrid/>
          <w:szCs w:val="24"/>
          <w:lang w:eastAsia="mk-MK"/>
        </w:rPr>
        <w:t xml:space="preserve">TD 04 </w:t>
      </w:r>
      <w:bookmarkStart w:id="0" w:name="_Hlk231324942"/>
      <w:r w:rsidRPr="00F21B33">
        <w:rPr>
          <w:snapToGrid/>
          <w:szCs w:val="24"/>
          <w:lang w:eastAsia="mk-MK"/>
        </w:rPr>
        <w:t>Project Event organization</w:t>
      </w:r>
      <w:bookmarkEnd w:id="0"/>
    </w:p>
    <w:p w:rsidR="006F5FD0" w:rsidRPr="0049681F" w:rsidRDefault="003E2DA8" w:rsidP="0049681F">
      <w:pPr>
        <w:spacing w:before="0" w:after="0"/>
        <w:jc w:val="center"/>
        <w:rPr>
          <w:bCs/>
          <w:szCs w:val="24"/>
          <w:lang w:val="en-GB"/>
        </w:rPr>
      </w:pPr>
      <w:r w:rsidRPr="0049681F">
        <w:rPr>
          <w:rStyle w:val="Strong"/>
          <w:b w:val="0"/>
          <w:bCs/>
          <w:szCs w:val="24"/>
          <w:lang w:val="en-GB"/>
        </w:rPr>
        <w:t xml:space="preserve">Municipality of </w:t>
      </w:r>
      <w:r w:rsidR="0049681F" w:rsidRPr="0049681F">
        <w:rPr>
          <w:rStyle w:val="Strong"/>
          <w:b w:val="0"/>
          <w:bCs/>
          <w:szCs w:val="24"/>
          <w:lang w:val="en-GB"/>
        </w:rPr>
        <w:t>Negotino</w:t>
      </w:r>
      <w:r w:rsidRPr="0049681F">
        <w:rPr>
          <w:rStyle w:val="Strong"/>
          <w:b w:val="0"/>
          <w:bCs/>
          <w:szCs w:val="24"/>
          <w:lang w:val="en-GB"/>
        </w:rPr>
        <w:t xml:space="preserve">, </w:t>
      </w:r>
      <w:r w:rsidR="0049681F" w:rsidRPr="0049681F">
        <w:rPr>
          <w:rStyle w:val="Strong"/>
          <w:b w:val="0"/>
          <w:bCs/>
          <w:szCs w:val="24"/>
          <w:lang w:val="en-GB"/>
        </w:rPr>
        <w:t>Vardar</w:t>
      </w:r>
      <w:r w:rsidRPr="0049681F">
        <w:rPr>
          <w:rStyle w:val="Strong"/>
          <w:b w:val="0"/>
          <w:bCs/>
          <w:szCs w:val="24"/>
          <w:lang w:val="en-GB"/>
        </w:rPr>
        <w:t xml:space="preserve"> Planning Region</w:t>
      </w:r>
    </w:p>
    <w:p w:rsidR="00571687" w:rsidRPr="00B33EE6" w:rsidRDefault="00571687" w:rsidP="001A6777">
      <w:pPr>
        <w:spacing w:after="240"/>
        <w:jc w:val="both"/>
        <w:outlineLvl w:val="0"/>
        <w:rPr>
          <w:rStyle w:val="Strong"/>
          <w:sz w:val="22"/>
          <w:szCs w:val="22"/>
          <w:lang w:val="en-GB"/>
        </w:rPr>
      </w:pPr>
    </w:p>
    <w:p w:rsidR="006F5FD0" w:rsidRPr="0049681F" w:rsidRDefault="007727F3" w:rsidP="003E2DA8">
      <w:pPr>
        <w:ind w:left="284" w:hanging="284"/>
        <w:outlineLvl w:val="0"/>
        <w:rPr>
          <w:sz w:val="22"/>
          <w:szCs w:val="22"/>
          <w:lang w:val="en-GB"/>
        </w:rPr>
      </w:pPr>
      <w:r w:rsidRPr="0049681F">
        <w:rPr>
          <w:rStyle w:val="Strong"/>
          <w:sz w:val="22"/>
          <w:szCs w:val="22"/>
          <w:lang w:val="en-GB"/>
        </w:rPr>
        <w:t>1.</w:t>
      </w:r>
      <w:r w:rsidR="00584BF4" w:rsidRPr="0049681F">
        <w:rPr>
          <w:rStyle w:val="Strong"/>
          <w:sz w:val="22"/>
          <w:szCs w:val="22"/>
          <w:lang w:val="en-GB"/>
        </w:rPr>
        <w:tab/>
      </w:r>
      <w:r w:rsidR="00632BDC" w:rsidRPr="0049681F">
        <w:rPr>
          <w:rStyle w:val="Strong"/>
          <w:sz w:val="22"/>
          <w:szCs w:val="22"/>
          <w:lang w:val="en-GB"/>
        </w:rPr>
        <w:t>R</w:t>
      </w:r>
      <w:r w:rsidR="006F5FD0" w:rsidRPr="0049681F">
        <w:rPr>
          <w:rStyle w:val="Strong"/>
          <w:sz w:val="22"/>
          <w:szCs w:val="22"/>
          <w:lang w:val="en-GB"/>
        </w:rPr>
        <w:t>eference</w:t>
      </w:r>
    </w:p>
    <w:p w:rsidR="006F5FD0" w:rsidRPr="00F21B33" w:rsidRDefault="00B82A2B" w:rsidP="003E2DA8">
      <w:pPr>
        <w:pStyle w:val="Blockquote"/>
        <w:ind w:left="284" w:hanging="284"/>
        <w:rPr>
          <w:i/>
          <w:sz w:val="22"/>
          <w:szCs w:val="22"/>
        </w:rPr>
      </w:pPr>
      <w:r w:rsidRPr="00B82A2B">
        <w:rPr>
          <w:rStyle w:val="Emphasis"/>
          <w:i w:val="0"/>
          <w:iCs/>
          <w:sz w:val="22"/>
          <w:szCs w:val="22"/>
        </w:rPr>
        <w:t>05-1280/3</w:t>
      </w:r>
    </w:p>
    <w:p w:rsidR="006F5FD0" w:rsidRPr="0049681F" w:rsidRDefault="007727F3" w:rsidP="003E2DA8">
      <w:pPr>
        <w:ind w:left="284" w:hanging="284"/>
        <w:outlineLvl w:val="0"/>
        <w:rPr>
          <w:sz w:val="22"/>
          <w:szCs w:val="22"/>
          <w:lang w:val="en-GB"/>
        </w:rPr>
      </w:pPr>
      <w:r w:rsidRPr="0049681F">
        <w:rPr>
          <w:rStyle w:val="Strong"/>
          <w:sz w:val="22"/>
          <w:szCs w:val="22"/>
          <w:lang w:val="en-GB"/>
        </w:rPr>
        <w:t>2.</w:t>
      </w:r>
      <w:r w:rsidR="00584BF4" w:rsidRPr="0049681F">
        <w:rPr>
          <w:rStyle w:val="Strong"/>
          <w:sz w:val="22"/>
          <w:szCs w:val="22"/>
          <w:lang w:val="en-GB"/>
        </w:rPr>
        <w:tab/>
      </w:r>
      <w:r w:rsidR="006F5FD0" w:rsidRPr="0049681F">
        <w:rPr>
          <w:rStyle w:val="Strong"/>
          <w:sz w:val="22"/>
          <w:szCs w:val="22"/>
          <w:lang w:val="en-GB"/>
        </w:rPr>
        <w:t>Procedure</w:t>
      </w:r>
    </w:p>
    <w:p w:rsidR="006F5FD0" w:rsidRPr="0049681F" w:rsidRDefault="00F60220" w:rsidP="003E2DA8">
      <w:pPr>
        <w:pStyle w:val="Blockquote"/>
        <w:ind w:left="284" w:hanging="284"/>
        <w:jc w:val="both"/>
        <w:rPr>
          <w:sz w:val="22"/>
          <w:szCs w:val="22"/>
          <w:lang w:val="en-GB"/>
        </w:rPr>
      </w:pPr>
      <w:r w:rsidRPr="0049681F">
        <w:rPr>
          <w:sz w:val="22"/>
          <w:szCs w:val="22"/>
          <w:lang w:val="en-GB"/>
        </w:rPr>
        <w:t>Single tender</w:t>
      </w:r>
    </w:p>
    <w:p w:rsidR="003E2DA8" w:rsidRPr="0049681F" w:rsidRDefault="003E2DA8" w:rsidP="003E2DA8">
      <w:pPr>
        <w:ind w:left="284" w:hanging="284"/>
        <w:outlineLvl w:val="0"/>
        <w:rPr>
          <w:b/>
          <w:sz w:val="22"/>
          <w:szCs w:val="22"/>
          <w:lang w:val="en-GB"/>
        </w:rPr>
      </w:pPr>
      <w:r w:rsidRPr="0049681F">
        <w:rPr>
          <w:rStyle w:val="Strong"/>
          <w:sz w:val="22"/>
          <w:szCs w:val="22"/>
          <w:lang w:val="en-GB"/>
        </w:rPr>
        <w:t xml:space="preserve">3. </w:t>
      </w:r>
      <w:r w:rsidRPr="0049681F">
        <w:rPr>
          <w:rStyle w:val="Strong"/>
          <w:sz w:val="22"/>
          <w:szCs w:val="22"/>
          <w:lang w:val="en-GB"/>
        </w:rPr>
        <w:tab/>
        <w:t>Programme title</w:t>
      </w:r>
    </w:p>
    <w:p w:rsidR="003E2DA8" w:rsidRPr="0049681F" w:rsidRDefault="0049681F" w:rsidP="003E2DA8">
      <w:pPr>
        <w:pStyle w:val="PRAGHeading2"/>
        <w:numPr>
          <w:ilvl w:val="0"/>
          <w:numId w:val="0"/>
        </w:numPr>
        <w:ind w:left="284" w:right="357" w:hanging="284"/>
        <w:rPr>
          <w:sz w:val="22"/>
          <w:szCs w:val="22"/>
          <w:lang w:val="en-GB"/>
        </w:rPr>
      </w:pPr>
      <w:r w:rsidRPr="0049681F">
        <w:rPr>
          <w:b/>
          <w:bCs/>
          <w:color w:val="32303A"/>
          <w:sz w:val="22"/>
          <w:szCs w:val="22"/>
          <w:bdr w:val="none" w:sz="0" w:space="0" w:color="auto" w:frame="1"/>
          <w:shd w:val="clear" w:color="auto" w:fill="FFFFFF"/>
        </w:rPr>
        <w:t>INTERREG VI-A IPA</w:t>
      </w:r>
      <w:r w:rsidRPr="0049681F">
        <w:rPr>
          <w:color w:val="32303A"/>
          <w:sz w:val="22"/>
          <w:szCs w:val="22"/>
          <w:shd w:val="clear" w:color="auto" w:fill="FFFFFF"/>
        </w:rPr>
        <w:t> </w:t>
      </w:r>
      <w:r w:rsidRPr="0049681F">
        <w:rPr>
          <w:b/>
          <w:bCs/>
          <w:color w:val="32303A"/>
          <w:sz w:val="22"/>
          <w:szCs w:val="22"/>
          <w:bdr w:val="none" w:sz="0" w:space="0" w:color="auto" w:frame="1"/>
          <w:shd w:val="clear" w:color="auto" w:fill="FFFFFF"/>
        </w:rPr>
        <w:t>Programme “Greece – North Macedonia 2021-2027</w:t>
      </w:r>
    </w:p>
    <w:p w:rsidR="003E2DA8" w:rsidRPr="0049681F" w:rsidRDefault="003E2DA8" w:rsidP="003E2DA8">
      <w:pPr>
        <w:ind w:left="284" w:hanging="284"/>
        <w:outlineLvl w:val="0"/>
        <w:rPr>
          <w:sz w:val="22"/>
          <w:szCs w:val="22"/>
          <w:lang w:val="en-GB"/>
        </w:rPr>
      </w:pPr>
      <w:r w:rsidRPr="0049681F">
        <w:rPr>
          <w:rStyle w:val="Strong"/>
          <w:sz w:val="22"/>
          <w:szCs w:val="22"/>
          <w:lang w:val="en-GB"/>
        </w:rPr>
        <w:t xml:space="preserve">4. </w:t>
      </w:r>
      <w:r w:rsidRPr="0049681F">
        <w:rPr>
          <w:rStyle w:val="Strong"/>
          <w:sz w:val="22"/>
          <w:szCs w:val="22"/>
          <w:lang w:val="en-GB"/>
        </w:rPr>
        <w:tab/>
        <w:t>Financing</w:t>
      </w:r>
    </w:p>
    <w:p w:rsidR="00F441AA" w:rsidRPr="0049681F" w:rsidRDefault="00F441AA" w:rsidP="00F441AA">
      <w:pPr>
        <w:rPr>
          <w:sz w:val="22"/>
          <w:szCs w:val="22"/>
        </w:rPr>
      </w:pPr>
      <w:r w:rsidRPr="0049681F">
        <w:rPr>
          <w:sz w:val="22"/>
          <w:szCs w:val="22"/>
        </w:rPr>
        <w:t xml:space="preserve">Project </w:t>
      </w:r>
      <w:bookmarkStart w:id="1" w:name="_Hlk208838906"/>
      <w:r w:rsidR="0049681F" w:rsidRPr="0049681F">
        <w:rPr>
          <w:sz w:val="22"/>
          <w:szCs w:val="22"/>
        </w:rPr>
        <w:t>Elder</w:t>
      </w:r>
      <w:r w:rsidR="006240A5">
        <w:rPr>
          <w:sz w:val="22"/>
          <w:szCs w:val="22"/>
        </w:rPr>
        <w:t xml:space="preserve"> </w:t>
      </w:r>
      <w:r w:rsidR="0049681F" w:rsidRPr="0049681F">
        <w:rPr>
          <w:sz w:val="22"/>
          <w:szCs w:val="22"/>
        </w:rPr>
        <w:t>Care</w:t>
      </w:r>
      <w:bookmarkEnd w:id="1"/>
      <w:r w:rsidR="006240A5">
        <w:rPr>
          <w:sz w:val="22"/>
          <w:szCs w:val="22"/>
        </w:rPr>
        <w:t xml:space="preserve"> </w:t>
      </w:r>
      <w:r w:rsidRPr="0049681F">
        <w:rPr>
          <w:sz w:val="22"/>
          <w:szCs w:val="22"/>
        </w:rPr>
        <w:t xml:space="preserve">budget </w:t>
      </w:r>
      <w:r w:rsidR="0049681F" w:rsidRPr="0049681F">
        <w:rPr>
          <w:sz w:val="22"/>
          <w:szCs w:val="22"/>
        </w:rPr>
        <w:t>PB04 Municipality of Negotin</w:t>
      </w:r>
      <w:r w:rsidR="006240A5">
        <w:rPr>
          <w:sz w:val="22"/>
          <w:szCs w:val="22"/>
        </w:rPr>
        <w:t>o</w:t>
      </w:r>
    </w:p>
    <w:p w:rsidR="00781A09" w:rsidRPr="0049681F" w:rsidRDefault="0049681F" w:rsidP="00F441AA">
      <w:pPr>
        <w:rPr>
          <w:snapToGrid/>
          <w:sz w:val="22"/>
          <w:szCs w:val="22"/>
          <w:lang w:eastAsia="mk-MK"/>
        </w:rPr>
      </w:pPr>
      <w:r w:rsidRPr="0049681F">
        <w:rPr>
          <w:snapToGrid/>
          <w:sz w:val="22"/>
          <w:szCs w:val="22"/>
          <w:lang w:eastAsia="mk-MK"/>
        </w:rPr>
        <w:t xml:space="preserve">External Expertise and Services - </w:t>
      </w:r>
      <w:r w:rsidR="00F21B33" w:rsidRPr="00F21B33">
        <w:rPr>
          <w:snapToGrid/>
          <w:sz w:val="22"/>
          <w:szCs w:val="22"/>
          <w:lang w:eastAsia="mk-MK"/>
        </w:rPr>
        <w:t>D3.2,D.4.2</w:t>
      </w:r>
      <w:r w:rsidR="00F21B33">
        <w:rPr>
          <w:snapToGrid/>
          <w:sz w:val="22"/>
          <w:szCs w:val="22"/>
          <w:lang w:eastAsia="mk-MK"/>
        </w:rPr>
        <w:t xml:space="preserve">, </w:t>
      </w:r>
      <w:r w:rsidR="00F21B33" w:rsidRPr="00F21B33">
        <w:rPr>
          <w:snapToGrid/>
          <w:sz w:val="22"/>
          <w:szCs w:val="22"/>
          <w:lang w:eastAsia="mk-MK"/>
        </w:rPr>
        <w:t>D.4.3</w:t>
      </w:r>
      <w:r w:rsidR="00F21B33">
        <w:rPr>
          <w:snapToGrid/>
          <w:sz w:val="22"/>
          <w:szCs w:val="22"/>
          <w:lang w:eastAsia="mk-MK"/>
        </w:rPr>
        <w:t xml:space="preserve"> and </w:t>
      </w:r>
      <w:r w:rsidR="00A1157F">
        <w:rPr>
          <w:snapToGrid/>
          <w:sz w:val="22"/>
          <w:szCs w:val="22"/>
          <w:lang w:eastAsia="mk-MK"/>
        </w:rPr>
        <w:t xml:space="preserve"> </w:t>
      </w:r>
      <w:r w:rsidR="00F21B33" w:rsidRPr="00F21B33">
        <w:rPr>
          <w:snapToGrid/>
          <w:sz w:val="22"/>
          <w:szCs w:val="22"/>
          <w:lang w:eastAsia="mk-MK"/>
        </w:rPr>
        <w:t>D5.1</w:t>
      </w:r>
    </w:p>
    <w:p w:rsidR="003E2DA8" w:rsidRPr="0049681F" w:rsidRDefault="003E2DA8" w:rsidP="003E2DA8">
      <w:pPr>
        <w:ind w:left="284" w:hanging="284"/>
        <w:outlineLvl w:val="0"/>
        <w:rPr>
          <w:sz w:val="22"/>
          <w:szCs w:val="22"/>
          <w:lang w:val="en-GB"/>
        </w:rPr>
      </w:pPr>
      <w:r w:rsidRPr="0049681F">
        <w:rPr>
          <w:rStyle w:val="Strong"/>
          <w:sz w:val="22"/>
          <w:szCs w:val="22"/>
          <w:lang w:val="en-GB"/>
        </w:rPr>
        <w:t xml:space="preserve">5. </w:t>
      </w:r>
      <w:r w:rsidRPr="0049681F">
        <w:rPr>
          <w:rStyle w:val="Strong"/>
          <w:sz w:val="22"/>
          <w:szCs w:val="22"/>
          <w:lang w:val="en-GB"/>
        </w:rPr>
        <w:tab/>
        <w:t>Contracting authority</w:t>
      </w:r>
    </w:p>
    <w:p w:rsidR="003E2DA8" w:rsidRPr="0049681F" w:rsidRDefault="003E2DA8" w:rsidP="003E2DA8">
      <w:pPr>
        <w:ind w:left="284" w:right="357" w:hanging="284"/>
        <w:jc w:val="both"/>
        <w:rPr>
          <w:rStyle w:val="Emphasis"/>
          <w:i w:val="0"/>
          <w:sz w:val="22"/>
          <w:szCs w:val="22"/>
          <w:lang w:val="en-GB"/>
        </w:rPr>
      </w:pPr>
      <w:r w:rsidRPr="0049681F">
        <w:rPr>
          <w:rStyle w:val="Emphasis"/>
          <w:i w:val="0"/>
          <w:sz w:val="22"/>
          <w:szCs w:val="22"/>
          <w:lang w:val="en-GB"/>
        </w:rPr>
        <w:t xml:space="preserve">Municipality of </w:t>
      </w:r>
      <w:r w:rsidR="0049681F" w:rsidRPr="0049681F">
        <w:rPr>
          <w:rStyle w:val="Emphasis"/>
          <w:i w:val="0"/>
          <w:sz w:val="22"/>
          <w:szCs w:val="22"/>
          <w:lang w:val="en-GB"/>
        </w:rPr>
        <w:t>Negotino</w:t>
      </w:r>
    </w:p>
    <w:p w:rsidR="006F5FD0" w:rsidRPr="00B33EE6" w:rsidRDefault="00A81157">
      <w:pPr>
        <w:rPr>
          <w:sz w:val="22"/>
          <w:szCs w:val="22"/>
          <w:lang w:val="en-GB"/>
        </w:rPr>
      </w:pPr>
      <w:r w:rsidRPr="00A81157">
        <w:rPr>
          <w:snapToGrid/>
          <w:sz w:val="22"/>
          <w:szCs w:val="22"/>
          <w:lang w:val="en-GB"/>
        </w:rPr>
        <w:pict>
          <v:line id="_x0000_s2051" style="position:absolute;z-index:251655680" from="0,12pt" to="468pt,12.05pt" o:allowincell="f" strokecolor="#d4d4d4" strokeweight="1.75pt">
            <v:shadow on="t" origin=",32385f" offset="0,-1pt"/>
          </v:line>
        </w:pict>
      </w:r>
    </w:p>
    <w:p w:rsidR="006F5FD0" w:rsidRPr="00B33EE6" w:rsidRDefault="006F5FD0" w:rsidP="00D517A4">
      <w:pPr>
        <w:jc w:val="center"/>
        <w:rPr>
          <w:sz w:val="28"/>
          <w:szCs w:val="28"/>
          <w:lang w:val="en-GB"/>
        </w:rPr>
      </w:pPr>
      <w:r w:rsidRPr="00B33EE6">
        <w:rPr>
          <w:rStyle w:val="Strong"/>
          <w:sz w:val="28"/>
          <w:szCs w:val="28"/>
          <w:lang w:val="en-GB"/>
        </w:rPr>
        <w:t>CONTRACT SPECIFICATION</w:t>
      </w:r>
    </w:p>
    <w:p w:rsidR="006F5FD0" w:rsidRPr="001A6777" w:rsidRDefault="006F5FD0" w:rsidP="001A6777">
      <w:pPr>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6F5FD0" w:rsidP="001A6777">
      <w:pPr>
        <w:pStyle w:val="Blockquote"/>
        <w:ind w:left="0"/>
        <w:jc w:val="both"/>
        <w:rPr>
          <w:i/>
          <w:sz w:val="22"/>
          <w:szCs w:val="22"/>
          <w:lang w:val="en-GB"/>
        </w:rPr>
      </w:pPr>
      <w:r w:rsidRPr="003E2DA8">
        <w:rPr>
          <w:rStyle w:val="Emphasis"/>
          <w:i w:val="0"/>
          <w:sz w:val="22"/>
          <w:szCs w:val="22"/>
          <w:lang w:val="en-GB"/>
        </w:rPr>
        <w:t>Global price</w:t>
      </w:r>
    </w:p>
    <w:p w:rsidR="006F5FD0" w:rsidRPr="001A6777" w:rsidRDefault="006F5FD0" w:rsidP="001A6777">
      <w:pPr>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CF4B97" w:rsidRPr="00CF4B97" w:rsidRDefault="00CF4B97" w:rsidP="00CF4B97">
      <w:pPr>
        <w:pStyle w:val="NormalWeb"/>
        <w:jc w:val="both"/>
        <w:rPr>
          <w:sz w:val="22"/>
          <w:szCs w:val="22"/>
          <w:lang w:val="en-US"/>
        </w:rPr>
      </w:pPr>
      <w:bookmarkStart w:id="2" w:name="_Hlk231330659"/>
      <w:r w:rsidRPr="00CF4B97">
        <w:rPr>
          <w:sz w:val="22"/>
          <w:szCs w:val="22"/>
          <w:lang w:val="en-US"/>
        </w:rPr>
        <w:t>The assignment of the present contract is to provide organizational, logistical and implementation support for the activities envisaged within the project “Equal Access to Healthcare for the Elderly Population in the Cross-Border Area: Facing the Challenge of Dementia – ElderCare”, through engagement of two (2) executors responsible for organization and support of Art Therapy and Occupational Therapy activities for elderly beneficiaries, as well as organization of events and trainings for registration/examination of the elderly carried out by PB5.</w:t>
      </w:r>
    </w:p>
    <w:p w:rsidR="00CF4B97" w:rsidRPr="00CF4B97" w:rsidRDefault="00CF4B97" w:rsidP="00CF4B97">
      <w:pPr>
        <w:pStyle w:val="NormalWeb"/>
        <w:jc w:val="both"/>
        <w:rPr>
          <w:sz w:val="22"/>
          <w:szCs w:val="22"/>
          <w:lang w:val="en-US"/>
        </w:rPr>
      </w:pPr>
      <w:r w:rsidRPr="00CF4B97">
        <w:rPr>
          <w:sz w:val="22"/>
          <w:szCs w:val="22"/>
          <w:lang w:val="en-US"/>
        </w:rPr>
        <w:lastRenderedPageBreak/>
        <w:t xml:space="preserve">The services should also include support in the promotion of community-based care and assistance in the establishment and implementation of counselling services for prevention of burn-out and depression among caregivers, delivered by trained psychiatrists/psychologists from PB5 with participation of PB2. </w:t>
      </w:r>
      <w:bookmarkEnd w:id="2"/>
      <w:r w:rsidRPr="00CF4B97">
        <w:rPr>
          <w:sz w:val="22"/>
          <w:szCs w:val="22"/>
          <w:lang w:val="en-US"/>
        </w:rPr>
        <w:t>The engaged executors shall provide coordination, communication, logistical arrangements and operational support for the implementation of therapeutic sessions, trainings, awareness activities and project events in accordance with the project objectives and planned activities.</w:t>
      </w:r>
    </w:p>
    <w:p w:rsidR="00B17EC0" w:rsidRDefault="00B17EC0" w:rsidP="00B17EC0">
      <w:pPr>
        <w:pStyle w:val="Blockquote"/>
        <w:spacing w:before="60" w:after="60"/>
        <w:ind w:left="0" w:right="357"/>
        <w:jc w:val="both"/>
        <w:rPr>
          <w:sz w:val="22"/>
          <w:szCs w:val="22"/>
        </w:rPr>
      </w:pPr>
    </w:p>
    <w:p w:rsidR="00060EEF" w:rsidRPr="0096600B" w:rsidRDefault="00060EEF" w:rsidP="00B17EC0">
      <w:pPr>
        <w:pStyle w:val="Blockquote"/>
        <w:spacing w:before="60" w:after="60"/>
        <w:ind w:left="0" w:right="357"/>
        <w:jc w:val="both"/>
        <w:rPr>
          <w:sz w:val="22"/>
          <w:szCs w:val="22"/>
        </w:rPr>
      </w:pPr>
    </w:p>
    <w:p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rsidR="00212BC7" w:rsidRPr="001A6777" w:rsidRDefault="00212BC7" w:rsidP="001A650B">
      <w:pPr>
        <w:jc w:val="both"/>
        <w:outlineLvl w:val="0"/>
        <w:rPr>
          <w:rStyle w:val="Strong"/>
          <w:b w:val="0"/>
          <w:sz w:val="22"/>
          <w:szCs w:val="22"/>
          <w:lang w:val="en-GB"/>
        </w:rPr>
      </w:pPr>
      <w:r w:rsidRPr="001A6777">
        <w:rPr>
          <w:rStyle w:val="Strong"/>
          <w:b w:val="0"/>
          <w:sz w:val="22"/>
          <w:szCs w:val="22"/>
          <w:lang w:val="en-GB"/>
        </w:rPr>
        <w:t>This contract is divided into lots:</w:t>
      </w:r>
      <w:r w:rsidRPr="003E2DA8">
        <w:rPr>
          <w:rStyle w:val="Strong"/>
          <w:b w:val="0"/>
          <w:sz w:val="22"/>
          <w:szCs w:val="22"/>
          <w:lang w:val="en-GB"/>
        </w:rPr>
        <w:t>no</w:t>
      </w:r>
    </w:p>
    <w:p w:rsidR="00DA0ABA" w:rsidRPr="00B33EE6" w:rsidRDefault="00DA0ABA" w:rsidP="001A6777">
      <w:pPr>
        <w:outlineLvl w:val="0"/>
        <w:rPr>
          <w:rStyle w:val="Emphasis"/>
          <w:i w:val="0"/>
          <w:sz w:val="22"/>
          <w:szCs w:val="22"/>
          <w:lang w:val="en-GB"/>
        </w:rPr>
      </w:pPr>
    </w:p>
    <w:p w:rsidR="006F5FD0" w:rsidRPr="00B33EE6" w:rsidRDefault="006F5FD0" w:rsidP="001A6777">
      <w:pPr>
        <w:ind w:left="284" w:hanging="284"/>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rsidR="00726C83" w:rsidRDefault="003E2DA8" w:rsidP="001A6777">
      <w:pPr>
        <w:pStyle w:val="Blockquote"/>
        <w:ind w:left="0" w:right="-116"/>
        <w:jc w:val="both"/>
        <w:rPr>
          <w:sz w:val="22"/>
          <w:szCs w:val="22"/>
          <w:lang w:val="en-GB"/>
        </w:rPr>
      </w:pPr>
      <w:r w:rsidRPr="0096600B">
        <w:rPr>
          <w:sz w:val="22"/>
          <w:szCs w:val="22"/>
          <w:lang w:val="en-GB"/>
        </w:rPr>
        <w:t>EUR</w:t>
      </w:r>
      <w:r w:rsidR="00F308D4">
        <w:rPr>
          <w:sz w:val="22"/>
          <w:szCs w:val="22"/>
          <w:lang w:val="en-GB"/>
        </w:rPr>
        <w:t>13</w:t>
      </w:r>
      <w:r>
        <w:rPr>
          <w:sz w:val="22"/>
          <w:szCs w:val="22"/>
          <w:lang w:val="en-GB"/>
        </w:rPr>
        <w:t>,000.00</w:t>
      </w:r>
    </w:p>
    <w:p w:rsidR="003E2DA8" w:rsidRPr="00B33EE6" w:rsidRDefault="003E2DA8" w:rsidP="001A6777">
      <w:pPr>
        <w:pStyle w:val="Blockquote"/>
        <w:ind w:left="0" w:right="-116"/>
        <w:jc w:val="both"/>
        <w:rPr>
          <w:sz w:val="22"/>
          <w:szCs w:val="22"/>
          <w:highlight w:val="yellow"/>
          <w:lang w:val="en-GB"/>
        </w:rPr>
      </w:pPr>
    </w:p>
    <w:p w:rsidR="006F5FD0" w:rsidRPr="00B33EE6" w:rsidRDefault="00A81157" w:rsidP="001A6777">
      <w:pPr>
        <w:keepNext/>
        <w:keepLines/>
        <w:widowControl/>
        <w:jc w:val="center"/>
        <w:rPr>
          <w:sz w:val="28"/>
          <w:szCs w:val="28"/>
          <w:lang w:val="en-GB"/>
        </w:rPr>
      </w:pPr>
      <w:r w:rsidRPr="00A81157">
        <w:rPr>
          <w:snapToGrid/>
          <w:sz w:val="22"/>
          <w:szCs w:val="22"/>
          <w:lang w:val="en-GB"/>
        </w:rPr>
        <w:pict>
          <v:line id="_x0000_s2052" style="position:absolute;left:0;text-align:left;z-index:251656704" from="-.3pt,-9.2pt" to="467.7pt,-9.15pt" o:allowincell="f" strokecolor="#d4d4d4" strokeweight="1.75pt">
            <v:shadow on="t" origin=",32385f" offset="0,-1pt"/>
          </v:line>
        </w:pict>
      </w:r>
      <w:r w:rsidR="006F5FD0" w:rsidRPr="00B33EE6">
        <w:rPr>
          <w:rStyle w:val="Strong"/>
          <w:sz w:val="28"/>
          <w:szCs w:val="28"/>
          <w:lang w:val="en-GB"/>
        </w:rPr>
        <w:t>CONDITIONS OF PARTICIPATION</w:t>
      </w:r>
    </w:p>
    <w:p w:rsidR="00B9793F" w:rsidRDefault="00B9793F" w:rsidP="001A6777">
      <w:pPr>
        <w:pStyle w:val="FootnoteText"/>
        <w:keepNext/>
        <w:keepLines/>
        <w:widowControl/>
        <w:ind w:left="426" w:hanging="426"/>
        <w:rPr>
          <w:rStyle w:val="Strong"/>
          <w:sz w:val="22"/>
          <w:szCs w:val="22"/>
          <w:lang w:val="en-GB"/>
        </w:rPr>
      </w:pPr>
      <w:r>
        <w:rPr>
          <w:rStyle w:val="Strong"/>
          <w:sz w:val="22"/>
          <w:szCs w:val="22"/>
          <w:lang w:val="en-GB"/>
        </w:rPr>
        <w:t>10.</w:t>
      </w:r>
      <w:r w:rsidR="001A650B">
        <w:rPr>
          <w:rStyle w:val="Strong"/>
          <w:sz w:val="22"/>
          <w:szCs w:val="22"/>
          <w:lang w:val="en-GB"/>
        </w:rPr>
        <w:tab/>
      </w:r>
      <w:r w:rsidRPr="00D97139">
        <w:rPr>
          <w:rStyle w:val="Strong"/>
          <w:sz w:val="22"/>
          <w:szCs w:val="22"/>
          <w:lang w:val="en-GB"/>
        </w:rPr>
        <w:t>Legal basis, eligibility and rules of origin</w:t>
      </w:r>
    </w:p>
    <w:p w:rsidR="00326B16" w:rsidRPr="00D97139" w:rsidRDefault="00326B16" w:rsidP="001A6777">
      <w:pPr>
        <w:pStyle w:val="FootnoteText"/>
        <w:keepNext/>
        <w:keepLines/>
        <w:widowControl/>
        <w:ind w:firstLine="426"/>
        <w:jc w:val="center"/>
        <w:rPr>
          <w:rStyle w:val="Strong"/>
          <w:sz w:val="22"/>
          <w:szCs w:val="22"/>
          <w:lang w:val="en-GB"/>
        </w:rPr>
      </w:pPr>
    </w:p>
    <w:p w:rsidR="00B9793F" w:rsidRPr="003E2DA8" w:rsidRDefault="00B9793F" w:rsidP="001A6777">
      <w:pPr>
        <w:pStyle w:val="paragraph"/>
        <w:spacing w:before="0" w:beforeAutospacing="0" w:after="0" w:afterAutospacing="0"/>
        <w:jc w:val="both"/>
        <w:textAlignment w:val="baseline"/>
        <w:rPr>
          <w:rFonts w:ascii="Segoe UI" w:hAnsi="Segoe UI" w:cs="Segoe UI"/>
          <w:sz w:val="22"/>
          <w:szCs w:val="22"/>
          <w:lang w:val="en-GB"/>
        </w:rPr>
      </w:pPr>
      <w:r w:rsidRPr="003E2DA8">
        <w:rPr>
          <w:iCs/>
          <w:sz w:val="22"/>
          <w:szCs w:val="22"/>
          <w:lang w:val="en-IE"/>
        </w:rPr>
        <w:t>The legal basis of this procedure is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r w:rsidR="00E1108E" w:rsidRPr="003E2DA8">
        <w:rPr>
          <w:iCs/>
          <w:sz w:val="22"/>
          <w:szCs w:val="22"/>
          <w:lang w:val="en-IE"/>
        </w:rPr>
        <w:t xml:space="preserve">). </w:t>
      </w:r>
      <w:r w:rsidRPr="003E2DA8">
        <w:rPr>
          <w:iCs/>
          <w:sz w:val="22"/>
          <w:szCs w:val="22"/>
          <w:lang w:val="en-IE"/>
        </w:rPr>
        <w:t>S</w:t>
      </w:r>
      <w:r w:rsidRPr="003E2DA8">
        <w:rPr>
          <w:rStyle w:val="normaltextrun"/>
          <w:sz w:val="22"/>
          <w:szCs w:val="22"/>
          <w:lang w:val="en-GB"/>
        </w:rPr>
        <w:t xml:space="preserve">ee Annex </w:t>
      </w:r>
      <w:r w:rsidR="00AA04CC" w:rsidRPr="003E2DA8">
        <w:rPr>
          <w:rStyle w:val="normaltextrun"/>
          <w:sz w:val="22"/>
          <w:szCs w:val="22"/>
          <w:lang w:val="en-GB"/>
        </w:rPr>
        <w:t>a2a1</w:t>
      </w:r>
      <w:r w:rsidRPr="003E2DA8">
        <w:rPr>
          <w:rStyle w:val="normaltextrun"/>
          <w:sz w:val="22"/>
          <w:szCs w:val="22"/>
          <w:lang w:val="en-GB"/>
        </w:rPr>
        <w:t xml:space="preserve"> of the practical guide.</w:t>
      </w:r>
    </w:p>
    <w:p w:rsidR="00E1108E" w:rsidRPr="003E2DA8" w:rsidRDefault="00B9793F" w:rsidP="001A6777">
      <w:pPr>
        <w:pStyle w:val="paragraph"/>
        <w:spacing w:before="0" w:beforeAutospacing="0" w:after="200" w:afterAutospacing="0"/>
        <w:jc w:val="both"/>
        <w:textAlignment w:val="baseline"/>
        <w:rPr>
          <w:iCs/>
          <w:sz w:val="22"/>
          <w:szCs w:val="22"/>
          <w:lang w:val="en-IE"/>
        </w:rPr>
      </w:pPr>
      <w:r w:rsidRPr="003E2DA8">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445514" w:rsidRPr="003E2DA8">
        <w:rPr>
          <w:iCs/>
          <w:sz w:val="22"/>
          <w:szCs w:val="22"/>
          <w:lang w:val="en-IE"/>
        </w:rPr>
        <w:t>1</w:t>
      </w:r>
      <w:r w:rsidRPr="003E2DA8">
        <w:rPr>
          <w:iCs/>
          <w:sz w:val="22"/>
          <w:szCs w:val="22"/>
          <w:lang w:val="en-IE"/>
        </w:rPr>
        <w:t xml:space="preserve"> of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p>
    <w:p w:rsidR="00B9793F" w:rsidRPr="001A6777" w:rsidRDefault="00E1108E" w:rsidP="001A6777">
      <w:pPr>
        <w:spacing w:before="0" w:after="240" w:line="240" w:lineRule="atLeast"/>
        <w:jc w:val="both"/>
        <w:rPr>
          <w:sz w:val="22"/>
          <w:szCs w:val="22"/>
          <w:lang w:val="en-IE"/>
        </w:rPr>
      </w:pPr>
      <w:r w:rsidRPr="003E2DA8">
        <w:rPr>
          <w:iCs/>
          <w:sz w:val="22"/>
          <w:szCs w:val="22"/>
          <w:lang w:val="en-IE"/>
        </w:rPr>
        <w:t>Participation is also open to international and regional organisations.</w:t>
      </w:r>
    </w:p>
    <w:p w:rsidR="006F5FD0" w:rsidRPr="00B33EE6" w:rsidRDefault="00B9793F" w:rsidP="00DE10E1">
      <w:pPr>
        <w:pStyle w:val="paragraph"/>
        <w:spacing w:before="0" w:beforeAutospacing="0" w:after="0" w:afterAutospacing="0"/>
        <w:ind w:left="567" w:hanging="567"/>
        <w:jc w:val="both"/>
        <w:textAlignment w:val="baseline"/>
        <w:rPr>
          <w:sz w:val="22"/>
          <w:szCs w:val="22"/>
          <w:lang w:val="en-GB"/>
        </w:rPr>
      </w:pPr>
      <w:r w:rsidRPr="00CC4086">
        <w:rPr>
          <w:rStyle w:val="eop"/>
          <w:rFonts w:ascii="Calibri" w:hAnsi="Calibri" w:cs="Calibri"/>
          <w:b/>
          <w:sz w:val="22"/>
          <w:szCs w:val="22"/>
          <w:lang w:val="en-US"/>
        </w:rPr>
        <w:t> </w:t>
      </w: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006F5FD0" w:rsidRPr="00B33EE6">
        <w:rPr>
          <w:rStyle w:val="Strong"/>
          <w:sz w:val="22"/>
          <w:szCs w:val="22"/>
          <w:lang w:val="en-GB"/>
        </w:rPr>
        <w:t>1</w:t>
      </w:r>
      <w:r w:rsidR="00632BDC" w:rsidRPr="00B33EE6">
        <w:rPr>
          <w:rStyle w:val="Strong"/>
          <w:sz w:val="22"/>
          <w:szCs w:val="22"/>
          <w:lang w:val="en-GB"/>
        </w:rPr>
        <w:t>1</w:t>
      </w:r>
      <w:r w:rsidR="006F5FD0" w:rsidRPr="00B33EE6">
        <w:rPr>
          <w:rStyle w:val="Strong"/>
          <w:sz w:val="22"/>
          <w:szCs w:val="22"/>
          <w:lang w:val="en-GB"/>
        </w:rPr>
        <w:t>.</w:t>
      </w:r>
      <w:r w:rsidR="0093429C">
        <w:rPr>
          <w:rStyle w:val="Strong"/>
          <w:sz w:val="22"/>
          <w:szCs w:val="22"/>
          <w:lang w:val="en-GB"/>
        </w:rPr>
        <w:tab/>
      </w:r>
      <w:r w:rsidR="006F5FD0"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1A6777">
      <w:pPr>
        <w:pStyle w:val="Blockquote"/>
        <w:ind w:left="0" w:right="26"/>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w:t>
      </w:r>
      <w:r w:rsidR="0008338B">
        <w:rPr>
          <w:rStyle w:val="Strong"/>
          <w:sz w:val="22"/>
          <w:szCs w:val="22"/>
          <w:lang w:val="en-GB"/>
        </w:rPr>
        <w:tab/>
      </w:r>
      <w:r w:rsidRPr="00B33EE6">
        <w:rPr>
          <w:rStyle w:val="Strong"/>
          <w:sz w:val="22"/>
          <w:szCs w:val="22"/>
          <w:lang w:val="en-GB"/>
        </w:rPr>
        <w:t>Grounds for exclusion</w:t>
      </w:r>
    </w:p>
    <w:p w:rsidR="006F5FD0" w:rsidRDefault="006F5FD0" w:rsidP="001A6777">
      <w:pPr>
        <w:pStyle w:val="Blockquote"/>
        <w:ind w:left="0" w:right="26"/>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A528A2">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 xml:space="preserve">to the effect </w:t>
      </w:r>
      <w:r w:rsidR="00750FF8" w:rsidRPr="00B33EE6">
        <w:rPr>
          <w:sz w:val="22"/>
          <w:szCs w:val="22"/>
          <w:lang w:val="en-GB"/>
        </w:rPr>
        <w:lastRenderedPageBreak/>
        <w:t>that they are not in any of</w:t>
      </w:r>
      <w:r w:rsidR="00A528A2">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C10DC7">
        <w:rPr>
          <w:sz w:val="22"/>
          <w:szCs w:val="22"/>
          <w:lang w:val="en-GB"/>
        </w:rPr>
        <w:t>4.2</w:t>
      </w:r>
      <w:r w:rsidR="00513F0F">
        <w:rPr>
          <w:sz w:val="22"/>
          <w:szCs w:val="22"/>
          <w:lang w:val="en-GB"/>
        </w:rPr>
        <w:t>.</w:t>
      </w:r>
      <w:r w:rsidR="00414AE3">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bookmarkStart w:id="17" w:name="_Hlk169265704"/>
      <w:r w:rsidR="00414AE3" w:rsidRPr="00414AE3">
        <w:rPr>
          <w:sz w:val="22"/>
          <w:szCs w:val="22"/>
          <w:lang w:val="en-GB"/>
        </w:rPr>
        <w:t xml:space="preserve">Where the </w:t>
      </w:r>
      <w:r w:rsidR="00414AE3">
        <w:rPr>
          <w:sz w:val="22"/>
          <w:szCs w:val="22"/>
          <w:lang w:val="en-GB"/>
        </w:rPr>
        <w:t xml:space="preserve">tenderer </w:t>
      </w:r>
      <w:r w:rsidR="00414AE3" w:rsidRPr="00414AE3">
        <w:rPr>
          <w:sz w:val="22"/>
          <w:szCs w:val="22"/>
          <w:lang w:val="en-GB"/>
        </w:rPr>
        <w:t>intends to rely on capacity providing entities or subcontractor(s), he/she must provide the same declaration signed by this/these entity(ies).</w:t>
      </w:r>
    </w:p>
    <w:bookmarkEnd w:id="17"/>
    <w:p w:rsidR="0039147E" w:rsidRPr="00B33EE6" w:rsidRDefault="00C03AF5" w:rsidP="001A6777">
      <w:pPr>
        <w:pStyle w:val="Blockquote"/>
        <w:spacing w:after="240"/>
        <w:ind w:left="0" w:right="357"/>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B55A6D">
        <w:rPr>
          <w:rStyle w:val="FootnoteReference"/>
          <w:sz w:val="22"/>
          <w:szCs w:val="22"/>
          <w:lang w:val="en-GB"/>
        </w:rPr>
        <w:footnoteReference w:id="2"/>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Pr="00B33EE6" w:rsidRDefault="00A81157" w:rsidP="001A6777">
      <w:pPr>
        <w:spacing w:after="360"/>
        <w:outlineLvl w:val="0"/>
        <w:rPr>
          <w:rStyle w:val="Emphasis"/>
          <w:i w:val="0"/>
          <w:sz w:val="22"/>
          <w:szCs w:val="22"/>
          <w:lang w:val="en-GB"/>
        </w:rPr>
      </w:pPr>
      <w:r w:rsidRPr="00A81157">
        <w:rPr>
          <w:snapToGrid/>
          <w:sz w:val="22"/>
          <w:szCs w:val="22"/>
          <w:lang w:val="en-GB"/>
        </w:rPr>
        <w:pict>
          <v:line id="_x0000_s2053" style="position:absolute;z-index:251657728" from="1.5pt,28.7pt" to="469.5pt,28.75pt" o:allowincell="f" strokecolor="#d4d4d4" strokeweight="1.75pt">
            <v:shadow on="t" origin=",32385f"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6F5FD0">
      <w:pPr>
        <w:keepNext/>
        <w:jc w:val="center"/>
        <w:rPr>
          <w:sz w:val="28"/>
          <w:szCs w:val="28"/>
          <w:lang w:val="en-GB"/>
        </w:rPr>
      </w:pPr>
      <w:r w:rsidRPr="00B33EE6">
        <w:rPr>
          <w:rStyle w:val="Strong"/>
          <w:sz w:val="28"/>
          <w:szCs w:val="28"/>
          <w:lang w:val="en-GB"/>
        </w:rPr>
        <w:t>PROVISIONAL TIMETABLE</w:t>
      </w:r>
    </w:p>
    <w:p w:rsidR="006F5FD0" w:rsidRPr="00B33EE6" w:rsidRDefault="0008338B" w:rsidP="001A6777">
      <w:pPr>
        <w:ind w:left="426" w:hanging="426"/>
        <w:outlineLvl w:val="0"/>
        <w:rPr>
          <w:sz w:val="22"/>
          <w:szCs w:val="22"/>
          <w:lang w:val="en-GB"/>
        </w:rPr>
      </w:pPr>
      <w:r>
        <w:rPr>
          <w:rStyle w:val="Strong"/>
          <w:sz w:val="22"/>
          <w:szCs w:val="22"/>
          <w:lang w:val="en-GB"/>
        </w:rPr>
        <w:t>1</w:t>
      </w:r>
      <w:r w:rsidR="005639EC" w:rsidRPr="00B33EE6">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Provisional commencement date of the contract</w:t>
      </w:r>
    </w:p>
    <w:p w:rsidR="006F5FD0" w:rsidRPr="004F03AE" w:rsidRDefault="00F308D4" w:rsidP="004F03AE">
      <w:pPr>
        <w:pStyle w:val="Blockquote"/>
        <w:ind w:left="426" w:hanging="426"/>
        <w:jc w:val="both"/>
        <w:rPr>
          <w:sz w:val="22"/>
          <w:szCs w:val="22"/>
          <w:lang w:val="en-GB"/>
        </w:rPr>
      </w:pPr>
      <w:r>
        <w:rPr>
          <w:rStyle w:val="Emphasis"/>
          <w:i w:val="0"/>
          <w:sz w:val="22"/>
          <w:szCs w:val="22"/>
          <w:lang w:val="en-GB"/>
        </w:rPr>
        <w:t>10</w:t>
      </w:r>
      <w:r w:rsidR="003E2DA8">
        <w:rPr>
          <w:rStyle w:val="Emphasis"/>
          <w:i w:val="0"/>
          <w:sz w:val="22"/>
          <w:szCs w:val="22"/>
          <w:lang w:val="en-GB"/>
        </w:rPr>
        <w:t>.</w:t>
      </w:r>
      <w:r w:rsidR="008B5E29">
        <w:rPr>
          <w:rStyle w:val="Emphasis"/>
          <w:i w:val="0"/>
          <w:sz w:val="22"/>
          <w:szCs w:val="22"/>
          <w:lang w:val="en-GB"/>
        </w:rPr>
        <w:t>0</w:t>
      </w:r>
      <w:r>
        <w:rPr>
          <w:rStyle w:val="Emphasis"/>
          <w:i w:val="0"/>
          <w:sz w:val="22"/>
          <w:szCs w:val="22"/>
          <w:lang w:val="en-GB"/>
        </w:rPr>
        <w:t>7</w:t>
      </w:r>
      <w:r w:rsidR="003E2DA8">
        <w:rPr>
          <w:rStyle w:val="Emphasis"/>
          <w:i w:val="0"/>
          <w:sz w:val="22"/>
          <w:szCs w:val="22"/>
          <w:lang w:val="en-GB"/>
        </w:rPr>
        <w:t>.202</w:t>
      </w:r>
      <w:r w:rsidR="008B5E29">
        <w:rPr>
          <w:rStyle w:val="Emphasis"/>
          <w:i w:val="0"/>
          <w:sz w:val="22"/>
          <w:szCs w:val="22"/>
          <w:lang w:val="en-GB"/>
        </w:rPr>
        <w:t>6</w:t>
      </w:r>
    </w:p>
    <w:p w:rsidR="006F5FD0" w:rsidRPr="00B33EE6" w:rsidRDefault="0008338B" w:rsidP="001A6777">
      <w:pPr>
        <w:ind w:left="426" w:hanging="426"/>
        <w:outlineLvl w:val="0"/>
        <w:rPr>
          <w:sz w:val="22"/>
          <w:szCs w:val="22"/>
          <w:lang w:val="en-GB"/>
        </w:rPr>
      </w:pPr>
      <w:r>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005639EC" w:rsidRPr="00B33EE6">
        <w:rPr>
          <w:rStyle w:val="Strong"/>
          <w:sz w:val="22"/>
          <w:szCs w:val="22"/>
          <w:lang w:val="en-GB"/>
        </w:rPr>
        <w:t>Implementation</w:t>
      </w:r>
      <w:r w:rsidR="006F5FD0" w:rsidRPr="00B33EE6">
        <w:rPr>
          <w:rStyle w:val="Strong"/>
          <w:sz w:val="22"/>
          <w:szCs w:val="22"/>
          <w:lang w:val="en-GB"/>
        </w:rPr>
        <w:t xml:space="preserve"> period of </w:t>
      </w:r>
      <w:r w:rsidR="005639EC" w:rsidRPr="00B33EE6">
        <w:rPr>
          <w:rStyle w:val="Strong"/>
          <w:sz w:val="22"/>
          <w:szCs w:val="22"/>
          <w:lang w:val="en-GB"/>
        </w:rPr>
        <w:t>the</w:t>
      </w:r>
      <w:r w:rsidR="00476D80" w:rsidRPr="00B33EE6">
        <w:rPr>
          <w:rStyle w:val="Strong"/>
          <w:sz w:val="22"/>
          <w:szCs w:val="22"/>
          <w:lang w:val="en-GB"/>
        </w:rPr>
        <w:t xml:space="preserve"> tasks </w:t>
      </w:r>
    </w:p>
    <w:p w:rsidR="006F5FD0" w:rsidRPr="00B33EE6" w:rsidRDefault="008B5E29" w:rsidP="001A6777">
      <w:pPr>
        <w:pStyle w:val="Blockquote"/>
        <w:ind w:left="426" w:hanging="426"/>
        <w:jc w:val="both"/>
        <w:rPr>
          <w:i/>
          <w:sz w:val="22"/>
          <w:szCs w:val="22"/>
          <w:lang w:val="en-GB"/>
        </w:rPr>
      </w:pPr>
      <w:r w:rsidRPr="00B82A2B">
        <w:rPr>
          <w:rStyle w:val="Emphasis"/>
          <w:i w:val="0"/>
          <w:sz w:val="22"/>
          <w:szCs w:val="22"/>
          <w:lang w:val="en-GB"/>
        </w:rPr>
        <w:t>1</w:t>
      </w:r>
      <w:r w:rsidR="00F308D4" w:rsidRPr="00B82A2B">
        <w:rPr>
          <w:rStyle w:val="Emphasis"/>
          <w:i w:val="0"/>
          <w:sz w:val="22"/>
          <w:szCs w:val="22"/>
          <w:lang w:val="en-GB"/>
        </w:rPr>
        <w:t>4</w:t>
      </w:r>
      <w:r w:rsidR="003E2DA8" w:rsidRPr="00B82A2B">
        <w:rPr>
          <w:rStyle w:val="Emphasis"/>
          <w:i w:val="0"/>
          <w:sz w:val="22"/>
          <w:szCs w:val="22"/>
          <w:lang w:val="en-GB"/>
        </w:rPr>
        <w:t xml:space="preserve"> months</w:t>
      </w:r>
    </w:p>
    <w:p w:rsidR="006F5FD0" w:rsidRPr="00B33EE6" w:rsidRDefault="00A81157">
      <w:pPr>
        <w:rPr>
          <w:sz w:val="22"/>
          <w:szCs w:val="22"/>
          <w:lang w:val="en-GB"/>
        </w:rPr>
      </w:pPr>
      <w:r w:rsidRPr="00A81157">
        <w:rPr>
          <w:snapToGrid/>
          <w:sz w:val="22"/>
          <w:szCs w:val="22"/>
          <w:lang w:val="en-GB"/>
        </w:rPr>
        <w:pict>
          <v:line id="_x0000_s2054" style="position:absolute;z-index:251658752" from="0,18.75pt" to="468pt,18.8pt" o:allowincell="f" strokecolor="#d4d4d4" strokeweight="1.75pt">
            <v:shadow on="t" origin=",32385f" offset="0,-1pt"/>
          </v:line>
        </w:pict>
      </w:r>
    </w:p>
    <w:p w:rsidR="006F5FD0" w:rsidRPr="00B33EE6" w:rsidRDefault="006F5FD0" w:rsidP="001A6777">
      <w:pPr>
        <w:spacing w:after="240"/>
        <w:jc w:val="center"/>
        <w:rPr>
          <w:sz w:val="28"/>
          <w:szCs w:val="28"/>
          <w:lang w:val="en-GB"/>
        </w:rPr>
      </w:pPr>
      <w:r w:rsidRPr="00B33EE6">
        <w:rPr>
          <w:rStyle w:val="Strong"/>
          <w:sz w:val="28"/>
          <w:szCs w:val="28"/>
          <w:lang w:val="en-GB"/>
        </w:rPr>
        <w:t>SELECTION AND AWARD CRITERIA</w:t>
      </w:r>
    </w:p>
    <w:p w:rsidR="006F5FD0" w:rsidRDefault="005639EC" w:rsidP="001A6777">
      <w:pPr>
        <w:spacing w:after="0"/>
        <w:ind w:left="425" w:hanging="425"/>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215403" w:rsidRPr="00AE0634" w:rsidRDefault="00215403" w:rsidP="001A6777">
      <w:pPr>
        <w:widowControl/>
        <w:spacing w:before="120" w:after="0"/>
        <w:jc w:val="both"/>
        <w:rPr>
          <w:sz w:val="22"/>
          <w:szCs w:val="22"/>
          <w:lang w:val="en-GB"/>
        </w:rPr>
      </w:pPr>
      <w:r w:rsidRPr="00AE0634">
        <w:rPr>
          <w:sz w:val="22"/>
          <w:szCs w:val="22"/>
          <w:lang w:val="en-GB"/>
        </w:rPr>
        <w:t>Capacity-providing entities</w:t>
      </w:r>
    </w:p>
    <w:p w:rsidR="00215403" w:rsidRPr="00AE0634" w:rsidRDefault="00215403" w:rsidP="001A6777">
      <w:pPr>
        <w:widowControl/>
        <w:spacing w:before="240" w:after="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w:t>
      </w:r>
      <w:r w:rsidR="00353144">
        <w:rPr>
          <w:sz w:val="22"/>
          <w:szCs w:val="22"/>
          <w:lang w:val="en-GB"/>
        </w:rPr>
        <w:t xml:space="preserve">which it has </w:t>
      </w:r>
      <w:r w:rsidRPr="00AE0634">
        <w:rPr>
          <w:sz w:val="22"/>
          <w:szCs w:val="22"/>
          <w:lang w:val="en-GB"/>
        </w:rPr>
        <w:t>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195F75">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195F75">
        <w:rPr>
          <w:b/>
          <w:sz w:val="22"/>
          <w:szCs w:val="22"/>
          <w:lang w:val="en-GB"/>
        </w:rPr>
        <w:t xml:space="preserve">not </w:t>
      </w:r>
      <w:r w:rsidRPr="00743351">
        <w:rPr>
          <w:b/>
          <w:sz w:val="22"/>
          <w:szCs w:val="22"/>
          <w:lang w:val="en-GB"/>
        </w:rPr>
        <w:t xml:space="preserve">be included </w:t>
      </w:r>
      <w:r w:rsidR="00195F75">
        <w:rPr>
          <w:b/>
          <w:sz w:val="22"/>
          <w:szCs w:val="22"/>
          <w:lang w:val="en-GB"/>
        </w:rPr>
        <w:t xml:space="preserve">in the tender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rsidR="00215403" w:rsidRPr="00AE0634" w:rsidRDefault="00215403" w:rsidP="001A6777">
      <w:pPr>
        <w:widowControl/>
        <w:spacing w:before="240" w:after="0"/>
        <w:ind w:right="26"/>
        <w:jc w:val="both"/>
        <w:rPr>
          <w:sz w:val="22"/>
          <w:szCs w:val="22"/>
          <w:lang w:val="en-GB"/>
        </w:rPr>
      </w:pPr>
      <w:r w:rsidRPr="00AE0634">
        <w:rPr>
          <w:sz w:val="22"/>
          <w:szCs w:val="22"/>
          <w:lang w:val="en-GB"/>
        </w:rPr>
        <w:lastRenderedPageBreak/>
        <w:t xml:space="preserve">With regard to technical and professional criteria, an economic operator may only rely on the capacities of other entities where the latter will perform the tasks for which these capacities are required. </w:t>
      </w:r>
    </w:p>
    <w:p w:rsidR="00215403" w:rsidRDefault="00215403" w:rsidP="001A6777">
      <w:pPr>
        <w:widowControl/>
        <w:spacing w:before="240" w:after="0"/>
        <w:ind w:right="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rsidP="001A6777">
      <w:pPr>
        <w:pStyle w:val="Blockquote"/>
        <w:ind w:left="0" w:right="26"/>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1A6777">
        <w:rPr>
          <w:b/>
          <w:bCs/>
          <w:sz w:val="22"/>
          <w:szCs w:val="22"/>
          <w:lang w:val="en-GB"/>
        </w:rPr>
        <w:t xml:space="preserve">In the case of </w:t>
      </w:r>
      <w:r w:rsidR="005639EC" w:rsidRPr="001A6777">
        <w:rPr>
          <w:b/>
          <w:bCs/>
          <w:sz w:val="22"/>
          <w:szCs w:val="22"/>
          <w:lang w:val="en-GB"/>
        </w:rPr>
        <w:t>tenders</w:t>
      </w:r>
      <w:r w:rsidRPr="001A6777">
        <w:rPr>
          <w:b/>
          <w:bCs/>
          <w:sz w:val="22"/>
          <w:szCs w:val="22"/>
          <w:lang w:val="en-GB"/>
        </w:rPr>
        <w:t xml:space="preserve"> submitted by a consortium, these selection criteria will be applied to the consortium as a whole</w:t>
      </w:r>
      <w:r w:rsidR="006751D2" w:rsidRPr="001A6777">
        <w:rPr>
          <w:b/>
          <w:bCs/>
          <w:sz w:val="22"/>
          <w:szCs w:val="22"/>
          <w:lang w:val="en-GB"/>
        </w:rPr>
        <w:t xml:space="preserve"> if not specified otherwise.</w:t>
      </w:r>
      <w:r w:rsidR="006751D2" w:rsidRPr="00B33EE6">
        <w:rPr>
          <w:sz w:val="22"/>
          <w:szCs w:val="22"/>
          <w:lang w:val="en-GB"/>
        </w:rPr>
        <w:t xml:space="preserve"> The selection criteria will not be applied to natural persons and single-member companies when they are sub-contractors.</w:t>
      </w:r>
    </w:p>
    <w:p w:rsidR="0068424D" w:rsidRPr="0068424D" w:rsidRDefault="004916FF" w:rsidP="0068424D">
      <w:pPr>
        <w:pStyle w:val="Blockquote"/>
        <w:ind w:left="0" w:right="26"/>
        <w:jc w:val="both"/>
        <w:rPr>
          <w:sz w:val="22"/>
          <w:szCs w:val="22"/>
          <w:lang w:val="en-GB"/>
        </w:rPr>
      </w:pPr>
      <w:bookmarkStart w:id="18" w:name="_Hlk169266975"/>
      <w:r w:rsidRPr="004916FF">
        <w:rPr>
          <w:sz w:val="22"/>
          <w:szCs w:val="22"/>
          <w:lang w:val="en-GB"/>
        </w:rPr>
        <w:t xml:space="preserve">The </w:t>
      </w:r>
      <w:r w:rsidR="00400098">
        <w:rPr>
          <w:sz w:val="22"/>
          <w:szCs w:val="22"/>
          <w:lang w:val="en-GB"/>
        </w:rPr>
        <w:t>tenderer</w:t>
      </w:r>
      <w:r w:rsidRPr="004916FF">
        <w:rPr>
          <w:sz w:val="22"/>
          <w:szCs w:val="22"/>
          <w:lang w:val="en-GB"/>
        </w:rPr>
        <w:t>shall not use previous experience which caused breach of contract and termination by a contracting authority as a reference for selection criteria.</w:t>
      </w:r>
      <w:r w:rsidR="0068424D" w:rsidRPr="0068424D">
        <w:rPr>
          <w:sz w:val="22"/>
          <w:szCs w:val="22"/>
          <w:lang w:val="en-GB"/>
        </w:rPr>
        <w:t>This is also applicable concerning the previous experience of experts required under a fee-based service contract.</w:t>
      </w:r>
    </w:p>
    <w:bookmarkEnd w:id="18"/>
    <w:p w:rsidR="006F5FD0" w:rsidRPr="00B33EE6" w:rsidRDefault="00571687" w:rsidP="001A6777">
      <w:pPr>
        <w:pStyle w:val="Blockquote"/>
        <w:ind w:left="284" w:right="26" w:hanging="284"/>
        <w:jc w:val="both"/>
        <w:rPr>
          <w:sz w:val="22"/>
          <w:szCs w:val="22"/>
          <w:lang w:val="en-GB"/>
        </w:rPr>
      </w:pPr>
      <w:r w:rsidRPr="001A6777">
        <w:rPr>
          <w:b/>
          <w:sz w:val="22"/>
          <w:szCs w:val="22"/>
          <w:lang w:val="en-GB"/>
        </w:rPr>
        <w:t>1)</w:t>
      </w:r>
      <w:r w:rsidRPr="001A6777">
        <w:rPr>
          <w:b/>
          <w:sz w:val="22"/>
          <w:szCs w:val="22"/>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w:t>
      </w:r>
      <w:r w:rsidR="006751D2" w:rsidRPr="001A6777">
        <w:rPr>
          <w:b/>
          <w:bCs/>
          <w:sz w:val="22"/>
          <w:szCs w:val="22"/>
          <w:lang w:val="en-GB"/>
        </w:rPr>
        <w:t>the last three years for which accounts have been closed.</w:t>
      </w:r>
    </w:p>
    <w:p w:rsidR="00D05BF4" w:rsidRPr="002D18CF" w:rsidRDefault="00D05BF4" w:rsidP="001A6777">
      <w:pPr>
        <w:spacing w:before="0" w:after="120" w:line="240" w:lineRule="atLeast"/>
        <w:ind w:left="284"/>
        <w:rPr>
          <w:b/>
          <w:sz w:val="22"/>
          <w:szCs w:val="22"/>
          <w:lang w:val="en-GB"/>
        </w:rPr>
      </w:pPr>
      <w:r w:rsidRPr="00A35829">
        <w:rPr>
          <w:b/>
          <w:sz w:val="22"/>
          <w:szCs w:val="22"/>
          <w:lang w:val="en-GB"/>
        </w:rPr>
        <w:t xml:space="preserve">Criterion 1: </w:t>
      </w:r>
      <w:r>
        <w:rPr>
          <w:b/>
          <w:sz w:val="22"/>
          <w:szCs w:val="22"/>
          <w:lang w:val="en-GB"/>
        </w:rPr>
        <w:t>average annual turnover</w:t>
      </w:r>
    </w:p>
    <w:p w:rsidR="003E2DA8" w:rsidRPr="00F308D4" w:rsidRDefault="00F308D4" w:rsidP="003E2DA8">
      <w:pPr>
        <w:pStyle w:val="Blockquote"/>
        <w:ind w:right="357"/>
        <w:jc w:val="both"/>
        <w:rPr>
          <w:sz w:val="22"/>
          <w:szCs w:val="22"/>
          <w:lang w:val="en-GB"/>
        </w:rPr>
      </w:pPr>
      <w:bookmarkStart w:id="19" w:name="_Hlk160467202"/>
      <w:r>
        <w:rPr>
          <w:sz w:val="22"/>
          <w:szCs w:val="22"/>
          <w:lang w:val="en-GB"/>
        </w:rPr>
        <w:t>T</w:t>
      </w:r>
      <w:r w:rsidRPr="00DC30B4">
        <w:rPr>
          <w:sz w:val="22"/>
          <w:szCs w:val="22"/>
          <w:lang w:val="en-GB"/>
        </w:rPr>
        <w:t>he tenderer</w:t>
      </w:r>
      <w:r>
        <w:rPr>
          <w:sz w:val="22"/>
          <w:szCs w:val="22"/>
          <w:lang w:val="en-GB"/>
        </w:rPr>
        <w:t>’s</w:t>
      </w:r>
      <w:r w:rsidRPr="00F308D4">
        <w:rPr>
          <w:sz w:val="22"/>
          <w:szCs w:val="22"/>
          <w:lang w:val="en-GB"/>
        </w:rPr>
        <w:t xml:space="preserve">average annual turnover of the last 3 financial years for which the accounts have been closedmust be </w:t>
      </w:r>
      <w:r w:rsidRPr="00F308D4">
        <w:rPr>
          <w:bCs/>
          <w:sz w:val="22"/>
          <w:szCs w:val="22"/>
          <w:lang w:val="en-GB"/>
        </w:rPr>
        <w:t>not less than</w:t>
      </w:r>
      <w:r w:rsidRPr="00F308D4">
        <w:rPr>
          <w:sz w:val="22"/>
          <w:szCs w:val="22"/>
        </w:rPr>
        <w:t xml:space="preserve"> EUR 13,000.</w:t>
      </w:r>
    </w:p>
    <w:p w:rsidR="00D05BF4" w:rsidRPr="00F308D4" w:rsidRDefault="00D05BF4" w:rsidP="003E2DA8">
      <w:pPr>
        <w:pStyle w:val="ListParagraph"/>
        <w:spacing w:before="0" w:after="120" w:line="240" w:lineRule="atLeast"/>
        <w:ind w:left="0"/>
        <w:jc w:val="both"/>
        <w:rPr>
          <w:sz w:val="22"/>
          <w:szCs w:val="22"/>
          <w:highlight w:val="yellow"/>
          <w:lang w:val="en-GB"/>
        </w:rPr>
      </w:pPr>
    </w:p>
    <w:bookmarkEnd w:id="19"/>
    <w:p w:rsidR="00BE08EC" w:rsidRPr="00B33EE6" w:rsidRDefault="00571687" w:rsidP="001A6777">
      <w:pPr>
        <w:pStyle w:val="Blockquote"/>
        <w:ind w:left="284" w:right="26" w:hanging="284"/>
        <w:jc w:val="both"/>
        <w:rPr>
          <w:sz w:val="22"/>
          <w:szCs w:val="22"/>
          <w:lang w:val="en-GB"/>
        </w:rPr>
      </w:pPr>
      <w:r w:rsidRPr="001A6777">
        <w:rPr>
          <w:b/>
          <w:sz w:val="22"/>
          <w:szCs w:val="22"/>
          <w:lang w:val="en-GB"/>
        </w:rPr>
        <w:t>2)</w:t>
      </w:r>
      <w:r w:rsidRPr="001A6777">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1A6777">
        <w:rPr>
          <w:bCs/>
          <w:sz w:val="22"/>
          <w:szCs w:val="22"/>
          <w:lang w:val="en-GB"/>
        </w:rPr>
        <w:t>(</w:t>
      </w:r>
      <w:r w:rsidR="006F5FD0" w:rsidRPr="00B14E3C">
        <w:rPr>
          <w:bCs/>
          <w:sz w:val="22"/>
          <w:szCs w:val="22"/>
          <w:lang w:val="en-GB"/>
        </w:rPr>
        <w:t xml:space="preserve">based </w:t>
      </w:r>
      <w:r w:rsidR="006F5FD0" w:rsidRPr="00B33EE6">
        <w:rPr>
          <w:sz w:val="22"/>
          <w:szCs w:val="22"/>
          <w:lang w:val="en-GB"/>
        </w:rPr>
        <w:t xml:space="preserve">on items </w:t>
      </w:r>
      <w:r w:rsidR="00087A72" w:rsidRPr="00B33EE6">
        <w:rPr>
          <w:sz w:val="22"/>
          <w:szCs w:val="22"/>
          <w:lang w:val="en-GB"/>
        </w:rPr>
        <w:t xml:space="preserve">4 </w:t>
      </w:r>
      <w:r w:rsidR="00661E54">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 xml:space="preserve">.The reference period which will be taken into account will be </w:t>
      </w:r>
      <w:r w:rsidR="00BE08EC" w:rsidRPr="001A6777">
        <w:rPr>
          <w:b/>
          <w:bCs/>
          <w:sz w:val="22"/>
          <w:szCs w:val="22"/>
          <w:lang w:val="en-GB"/>
        </w:rPr>
        <w:t xml:space="preserve">the last </w:t>
      </w:r>
      <w:r w:rsidR="00EF673B">
        <w:rPr>
          <w:b/>
          <w:bCs/>
          <w:sz w:val="22"/>
          <w:szCs w:val="22"/>
          <w:lang w:val="en-GB"/>
        </w:rPr>
        <w:t>four</w:t>
      </w:r>
      <w:r w:rsidR="00862885" w:rsidRPr="001A6777">
        <w:rPr>
          <w:b/>
          <w:bCs/>
          <w:sz w:val="22"/>
          <w:szCs w:val="22"/>
          <w:lang w:val="en-GB"/>
        </w:rPr>
        <w:t xml:space="preserve"> years </w:t>
      </w:r>
      <w:r w:rsidR="00771F97" w:rsidRPr="001A6777">
        <w:rPr>
          <w:b/>
          <w:bCs/>
          <w:sz w:val="22"/>
          <w:szCs w:val="22"/>
          <w:lang w:val="en-GB"/>
        </w:rPr>
        <w:t>preceding the</w:t>
      </w:r>
      <w:r w:rsidR="00BE08EC" w:rsidRPr="001A6777">
        <w:rPr>
          <w:b/>
          <w:bCs/>
          <w:sz w:val="22"/>
          <w:szCs w:val="22"/>
          <w:lang w:val="en-GB"/>
        </w:rPr>
        <w:t xml:space="preserve"> submission deadline</w:t>
      </w:r>
      <w:r w:rsidR="00BE08EC" w:rsidRPr="00B33EE6">
        <w:rPr>
          <w:sz w:val="22"/>
          <w:szCs w:val="22"/>
          <w:lang w:val="en-GB"/>
        </w:rPr>
        <w:t>.</w:t>
      </w:r>
    </w:p>
    <w:p w:rsidR="00F308D4" w:rsidRPr="00DE10E1" w:rsidRDefault="00F308D4" w:rsidP="00F308D4">
      <w:pPr>
        <w:numPr>
          <w:ilvl w:val="0"/>
          <w:numId w:val="34"/>
        </w:numPr>
        <w:tabs>
          <w:tab w:val="clear" w:pos="360"/>
          <w:tab w:val="num" w:pos="993"/>
        </w:tabs>
        <w:ind w:left="993" w:hanging="426"/>
        <w:rPr>
          <w:sz w:val="22"/>
          <w:szCs w:val="22"/>
          <w:lang w:val="en-GB"/>
        </w:rPr>
      </w:pPr>
      <w:r w:rsidRPr="00DE10E1">
        <w:rPr>
          <w:b/>
          <w:bCs/>
          <w:sz w:val="22"/>
          <w:szCs w:val="22"/>
          <w:lang w:val="en-IE"/>
        </w:rPr>
        <w:t>Criterion 1:</w:t>
      </w:r>
      <w:r w:rsidRPr="00DE10E1">
        <w:rPr>
          <w:sz w:val="22"/>
          <w:szCs w:val="22"/>
          <w:lang w:val="en-GB"/>
        </w:rPr>
        <w:t>the tenderer has, during the current year and the previous two years, on average, at least: one personnel directly employed or otherwise legally contracted on a permanent or non-permanent basis in</w:t>
      </w:r>
      <w:r w:rsidRPr="00DE10E1">
        <w:rPr>
          <w:sz w:val="22"/>
          <w:szCs w:val="22"/>
        </w:rPr>
        <w:t xml:space="preserve"> areas of specialist knowledge related to this contract</w:t>
      </w:r>
      <w:r w:rsidRPr="00DE10E1">
        <w:rPr>
          <w:sz w:val="22"/>
          <w:szCs w:val="22"/>
          <w:lang w:val="en-GB"/>
        </w:rPr>
        <w:t>.</w:t>
      </w:r>
    </w:p>
    <w:p w:rsidR="00F308D4" w:rsidRPr="00DE10E1" w:rsidRDefault="00DE10E1" w:rsidP="005B50EC">
      <w:pPr>
        <w:widowControl/>
        <w:numPr>
          <w:ilvl w:val="0"/>
          <w:numId w:val="34"/>
        </w:numPr>
        <w:tabs>
          <w:tab w:val="clear" w:pos="360"/>
          <w:tab w:val="num" w:pos="993"/>
        </w:tabs>
        <w:spacing w:before="0" w:after="0"/>
        <w:ind w:left="993" w:hanging="426"/>
        <w:rPr>
          <w:snapToGrid/>
          <w:sz w:val="22"/>
          <w:szCs w:val="22"/>
          <w:lang w:val="mk-MK" w:eastAsia="mk-MK"/>
        </w:rPr>
      </w:pPr>
      <w:r w:rsidRPr="00DE10E1">
        <w:rPr>
          <w:b/>
          <w:bCs/>
          <w:sz w:val="22"/>
          <w:szCs w:val="22"/>
        </w:rPr>
        <w:t>Criterion 2:</w:t>
      </w:r>
      <w:r w:rsidRPr="00DE10E1">
        <w:rPr>
          <w:sz w:val="22"/>
          <w:szCs w:val="22"/>
        </w:rPr>
        <w:t xml:space="preserve"> the tenderer must have at least two (2) experts/executors available for implementation of the contract (Art Therapist and Occupational Therapist) with the following education and experience:</w:t>
      </w:r>
    </w:p>
    <w:p w:rsidR="00DE10E1" w:rsidRPr="00DE10E1" w:rsidRDefault="00DE10E1" w:rsidP="00DE10E1">
      <w:pPr>
        <w:widowControl/>
        <w:spacing w:before="0" w:after="0"/>
        <w:rPr>
          <w:sz w:val="22"/>
          <w:szCs w:val="22"/>
        </w:rPr>
      </w:pPr>
    </w:p>
    <w:p w:rsidR="00DE10E1" w:rsidRPr="00DE10E1" w:rsidRDefault="00DE10E1" w:rsidP="00DE10E1">
      <w:pPr>
        <w:widowControl/>
        <w:spacing w:before="0" w:after="0"/>
        <w:ind w:left="993"/>
        <w:rPr>
          <w:sz w:val="22"/>
          <w:szCs w:val="22"/>
        </w:rPr>
      </w:pPr>
      <w:r w:rsidRPr="00DE10E1">
        <w:rPr>
          <w:sz w:val="22"/>
          <w:szCs w:val="22"/>
        </w:rPr>
        <w:t>Art Therapy:</w:t>
      </w:r>
    </w:p>
    <w:p w:rsidR="00DE10E1" w:rsidRPr="00DE10E1" w:rsidRDefault="00DE10E1" w:rsidP="00DE10E1">
      <w:pPr>
        <w:widowControl/>
        <w:numPr>
          <w:ilvl w:val="0"/>
          <w:numId w:val="34"/>
        </w:numPr>
        <w:tabs>
          <w:tab w:val="clear" w:pos="360"/>
        </w:tabs>
        <w:spacing w:before="0" w:after="0"/>
        <w:ind w:left="1701"/>
        <w:rPr>
          <w:snapToGrid/>
          <w:sz w:val="22"/>
          <w:szCs w:val="22"/>
          <w:lang w:eastAsia="mk-MK"/>
        </w:rPr>
      </w:pPr>
      <w:r w:rsidRPr="00DE10E1">
        <w:rPr>
          <w:snapToGrid/>
          <w:sz w:val="22"/>
          <w:szCs w:val="22"/>
          <w:lang w:eastAsia="mk-MK"/>
        </w:rPr>
        <w:t>University degree in psychology, pedagogy, fine arts, special education and rehabilitation, or another related field;</w:t>
      </w:r>
    </w:p>
    <w:p w:rsidR="00DE10E1" w:rsidRPr="00DE10E1" w:rsidRDefault="00DE10E1" w:rsidP="00DE10E1">
      <w:pPr>
        <w:widowControl/>
        <w:numPr>
          <w:ilvl w:val="0"/>
          <w:numId w:val="34"/>
        </w:numPr>
        <w:tabs>
          <w:tab w:val="clear" w:pos="360"/>
        </w:tabs>
        <w:spacing w:before="0" w:after="0"/>
        <w:ind w:left="1701"/>
        <w:rPr>
          <w:snapToGrid/>
          <w:sz w:val="22"/>
          <w:szCs w:val="22"/>
          <w:lang w:eastAsia="mk-MK"/>
        </w:rPr>
      </w:pPr>
      <w:r w:rsidRPr="00DE10E1">
        <w:rPr>
          <w:snapToGrid/>
          <w:sz w:val="22"/>
          <w:szCs w:val="22"/>
          <w:lang w:eastAsia="mk-MK"/>
        </w:rPr>
        <w:t>Knowledge and/or experience in working with persons with disabilities, children, youth or vulnerable groups;</w:t>
      </w:r>
    </w:p>
    <w:p w:rsidR="00DE10E1" w:rsidRPr="00DE10E1" w:rsidRDefault="00DE10E1" w:rsidP="00DE10E1">
      <w:pPr>
        <w:widowControl/>
        <w:numPr>
          <w:ilvl w:val="0"/>
          <w:numId w:val="34"/>
        </w:numPr>
        <w:tabs>
          <w:tab w:val="clear" w:pos="360"/>
        </w:tabs>
        <w:spacing w:before="0" w:after="0"/>
        <w:ind w:left="1701"/>
        <w:rPr>
          <w:snapToGrid/>
          <w:sz w:val="22"/>
          <w:szCs w:val="22"/>
          <w:lang w:eastAsia="mk-MK"/>
        </w:rPr>
      </w:pPr>
      <w:r w:rsidRPr="00DE10E1">
        <w:rPr>
          <w:snapToGrid/>
          <w:sz w:val="22"/>
          <w:szCs w:val="22"/>
          <w:lang w:eastAsia="mk-MK"/>
        </w:rPr>
        <w:t>Communication and organizational skills;</w:t>
      </w:r>
    </w:p>
    <w:p w:rsidR="00DE10E1" w:rsidRPr="00DE10E1" w:rsidRDefault="00DE10E1" w:rsidP="00DE10E1">
      <w:pPr>
        <w:widowControl/>
        <w:numPr>
          <w:ilvl w:val="0"/>
          <w:numId w:val="34"/>
        </w:numPr>
        <w:tabs>
          <w:tab w:val="clear" w:pos="360"/>
        </w:tabs>
        <w:spacing w:before="0" w:after="0"/>
        <w:ind w:left="1701"/>
        <w:rPr>
          <w:sz w:val="22"/>
          <w:szCs w:val="22"/>
        </w:rPr>
      </w:pPr>
      <w:r w:rsidRPr="00DE10E1">
        <w:rPr>
          <w:snapToGrid/>
          <w:sz w:val="22"/>
          <w:szCs w:val="22"/>
          <w:lang w:eastAsia="mk-MK"/>
        </w:rPr>
        <w:t>Ability to work independently and as part of a team.</w:t>
      </w:r>
    </w:p>
    <w:p w:rsidR="00DE10E1" w:rsidRPr="00DE10E1" w:rsidRDefault="00DE10E1" w:rsidP="00DE10E1">
      <w:pPr>
        <w:widowControl/>
        <w:spacing w:before="0" w:after="0"/>
        <w:rPr>
          <w:sz w:val="22"/>
          <w:szCs w:val="22"/>
        </w:rPr>
      </w:pPr>
    </w:p>
    <w:p w:rsidR="00DE10E1" w:rsidRPr="00DE10E1" w:rsidRDefault="00DE10E1" w:rsidP="00DE10E1">
      <w:pPr>
        <w:widowControl/>
        <w:spacing w:before="0" w:after="0"/>
        <w:ind w:left="993"/>
        <w:rPr>
          <w:sz w:val="22"/>
          <w:szCs w:val="22"/>
        </w:rPr>
      </w:pPr>
      <w:r w:rsidRPr="00DE10E1">
        <w:rPr>
          <w:sz w:val="22"/>
          <w:szCs w:val="22"/>
        </w:rPr>
        <w:t>Occupation Therapy</w:t>
      </w:r>
    </w:p>
    <w:p w:rsidR="00DE10E1" w:rsidRPr="00DE10E1" w:rsidRDefault="00DE10E1" w:rsidP="00DE10E1">
      <w:pPr>
        <w:widowControl/>
        <w:numPr>
          <w:ilvl w:val="0"/>
          <w:numId w:val="34"/>
        </w:numPr>
        <w:tabs>
          <w:tab w:val="clear" w:pos="360"/>
          <w:tab w:val="num" w:pos="1713"/>
        </w:tabs>
        <w:spacing w:before="0" w:after="0"/>
        <w:ind w:left="1713"/>
        <w:rPr>
          <w:snapToGrid/>
          <w:sz w:val="22"/>
          <w:szCs w:val="22"/>
          <w:lang w:eastAsia="mk-MK"/>
        </w:rPr>
      </w:pPr>
      <w:r w:rsidRPr="00DE10E1">
        <w:rPr>
          <w:snapToGrid/>
          <w:sz w:val="22"/>
          <w:szCs w:val="22"/>
          <w:lang w:eastAsia="mk-MK"/>
        </w:rPr>
        <w:lastRenderedPageBreak/>
        <w:t>University degree in defectology, special education and rehabilitation, occupational therapy, physiotherapy, or another related field;</w:t>
      </w:r>
    </w:p>
    <w:p w:rsidR="00DE10E1" w:rsidRPr="00DE10E1" w:rsidRDefault="00DE10E1" w:rsidP="00DE10E1">
      <w:pPr>
        <w:widowControl/>
        <w:numPr>
          <w:ilvl w:val="0"/>
          <w:numId w:val="34"/>
        </w:numPr>
        <w:tabs>
          <w:tab w:val="clear" w:pos="360"/>
          <w:tab w:val="num" w:pos="1713"/>
        </w:tabs>
        <w:spacing w:before="0" w:after="0"/>
        <w:ind w:left="1713"/>
        <w:rPr>
          <w:snapToGrid/>
          <w:sz w:val="22"/>
          <w:szCs w:val="22"/>
          <w:lang w:eastAsia="mk-MK"/>
        </w:rPr>
      </w:pPr>
      <w:r w:rsidRPr="00DE10E1">
        <w:rPr>
          <w:snapToGrid/>
          <w:sz w:val="22"/>
          <w:szCs w:val="22"/>
          <w:lang w:eastAsia="mk-MK"/>
        </w:rPr>
        <w:t>Knowledge and/or experience in working with persons with disabilities and vulnerable groups;</w:t>
      </w:r>
    </w:p>
    <w:p w:rsidR="00DE10E1" w:rsidRPr="00DE10E1" w:rsidRDefault="00DE10E1" w:rsidP="00DE10E1">
      <w:pPr>
        <w:widowControl/>
        <w:numPr>
          <w:ilvl w:val="0"/>
          <w:numId w:val="34"/>
        </w:numPr>
        <w:tabs>
          <w:tab w:val="clear" w:pos="360"/>
          <w:tab w:val="num" w:pos="1713"/>
        </w:tabs>
        <w:spacing w:before="0" w:after="0"/>
        <w:ind w:left="1713"/>
        <w:rPr>
          <w:snapToGrid/>
          <w:sz w:val="22"/>
          <w:szCs w:val="22"/>
          <w:lang w:eastAsia="mk-MK"/>
        </w:rPr>
      </w:pPr>
      <w:r w:rsidRPr="00DE10E1">
        <w:rPr>
          <w:snapToGrid/>
          <w:sz w:val="22"/>
          <w:szCs w:val="22"/>
          <w:lang w:eastAsia="mk-MK"/>
        </w:rPr>
        <w:t>Communication and organizational skills;</w:t>
      </w:r>
    </w:p>
    <w:p w:rsidR="00DE10E1" w:rsidRPr="00DE10E1" w:rsidRDefault="00DE10E1" w:rsidP="00DE10E1">
      <w:pPr>
        <w:widowControl/>
        <w:numPr>
          <w:ilvl w:val="0"/>
          <w:numId w:val="34"/>
        </w:numPr>
        <w:tabs>
          <w:tab w:val="clear" w:pos="360"/>
          <w:tab w:val="num" w:pos="1713"/>
        </w:tabs>
        <w:spacing w:before="0" w:after="0"/>
        <w:ind w:left="1713"/>
        <w:rPr>
          <w:sz w:val="22"/>
          <w:szCs w:val="22"/>
        </w:rPr>
      </w:pPr>
      <w:r w:rsidRPr="00DE10E1">
        <w:rPr>
          <w:snapToGrid/>
          <w:sz w:val="22"/>
          <w:szCs w:val="22"/>
          <w:lang w:eastAsia="mk-MK"/>
        </w:rPr>
        <w:t>Ability to work independently and as part of a team.</w:t>
      </w:r>
    </w:p>
    <w:p w:rsidR="00F308D4" w:rsidRPr="00F308D4" w:rsidRDefault="00F308D4" w:rsidP="00DE10E1">
      <w:pPr>
        <w:widowControl/>
        <w:spacing w:before="0" w:after="0"/>
        <w:rPr>
          <w:snapToGrid/>
          <w:sz w:val="22"/>
          <w:szCs w:val="22"/>
          <w:lang w:val="mk-MK" w:eastAsia="mk-MK"/>
        </w:rPr>
      </w:pPr>
    </w:p>
    <w:p w:rsidR="00235A71" w:rsidRPr="00DE10E1" w:rsidRDefault="00F308D4" w:rsidP="00F308D4">
      <w:pPr>
        <w:pStyle w:val="Blockquote"/>
        <w:numPr>
          <w:ilvl w:val="0"/>
          <w:numId w:val="34"/>
        </w:numPr>
        <w:tabs>
          <w:tab w:val="clear" w:pos="360"/>
          <w:tab w:val="num" w:pos="993"/>
        </w:tabs>
        <w:spacing w:before="0"/>
        <w:ind w:left="993" w:right="357" w:hanging="426"/>
        <w:jc w:val="both"/>
        <w:rPr>
          <w:sz w:val="22"/>
          <w:szCs w:val="22"/>
          <w:lang w:val="es-ES"/>
        </w:rPr>
      </w:pPr>
      <w:r w:rsidRPr="00DE10E1">
        <w:rPr>
          <w:b/>
          <w:bCs/>
          <w:sz w:val="22"/>
          <w:szCs w:val="22"/>
          <w:lang w:val="en-IE"/>
        </w:rPr>
        <w:t xml:space="preserve">Criterion </w:t>
      </w:r>
      <w:r w:rsidR="00DE10E1" w:rsidRPr="00DE10E1">
        <w:rPr>
          <w:b/>
          <w:bCs/>
          <w:sz w:val="22"/>
          <w:szCs w:val="22"/>
          <w:lang w:val="en-IE"/>
        </w:rPr>
        <w:t>3</w:t>
      </w:r>
      <w:r w:rsidRPr="00DE10E1">
        <w:rPr>
          <w:b/>
          <w:bCs/>
          <w:sz w:val="22"/>
          <w:szCs w:val="22"/>
          <w:lang w:val="en-IE"/>
        </w:rPr>
        <w:t xml:space="preserve">: </w:t>
      </w:r>
      <w:r w:rsidRPr="00DE10E1">
        <w:rPr>
          <w:sz w:val="22"/>
          <w:szCs w:val="22"/>
          <w:lang w:val="en-GB"/>
        </w:rPr>
        <w:t xml:space="preserve">the tenderer </w:t>
      </w:r>
      <w:r w:rsidRPr="00DE10E1">
        <w:rPr>
          <w:color w:val="000000"/>
          <w:sz w:val="22"/>
          <w:szCs w:val="22"/>
          <w:lang w:val="en-IE"/>
        </w:rPr>
        <w:t xml:space="preserve">is not subject to professional conflicting interests which may negatively affect contract performance. </w:t>
      </w:r>
      <w:r w:rsidRPr="00DE10E1">
        <w:rPr>
          <w:sz w:val="22"/>
          <w:szCs w:val="22"/>
          <w:lang w:val="en-GB"/>
        </w:rPr>
        <w:t>The presence of professional conflicting interests shall be examined on the basis of the statements made through the Declarations on Honour and, where applicable, the statements and other documents submitted.</w:t>
      </w:r>
    </w:p>
    <w:p w:rsidR="00BE08EC" w:rsidRPr="00B33EE6" w:rsidRDefault="00571687" w:rsidP="001A6777">
      <w:pPr>
        <w:pStyle w:val="Blockquote"/>
        <w:spacing w:before="120" w:after="120"/>
        <w:ind w:left="284" w:right="357" w:hanging="284"/>
        <w:jc w:val="both"/>
        <w:rPr>
          <w:sz w:val="22"/>
          <w:szCs w:val="22"/>
          <w:lang w:val="en-GB"/>
        </w:rPr>
      </w:pPr>
      <w:r w:rsidRPr="001A6777">
        <w:rPr>
          <w:b/>
          <w:sz w:val="22"/>
          <w:szCs w:val="22"/>
          <w:lang w:val="en-GB"/>
        </w:rPr>
        <w:t>3)</w:t>
      </w:r>
      <w:r w:rsidRPr="001A6777">
        <w:rPr>
          <w:b/>
          <w:sz w:val="22"/>
          <w:szCs w:val="22"/>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087A72" w:rsidRPr="00B33EE6">
        <w:rPr>
          <w:sz w:val="22"/>
          <w:szCs w:val="22"/>
          <w:lang w:val="en-GB"/>
        </w:rPr>
        <w:t>(</w:t>
      </w:r>
      <w:r w:rsidR="006F5FD0" w:rsidRPr="00B33EE6">
        <w:rPr>
          <w:sz w:val="22"/>
          <w:szCs w:val="22"/>
          <w:lang w:val="en-GB"/>
        </w:rPr>
        <w:t xml:space="preserve">based on items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w:t>
      </w:r>
    </w:p>
    <w:p w:rsidR="00DE10E1" w:rsidRPr="00DE10E1" w:rsidRDefault="00DE10E1" w:rsidP="00DE10E1">
      <w:pPr>
        <w:widowControl/>
        <w:tabs>
          <w:tab w:val="num" w:pos="1004"/>
        </w:tabs>
        <w:spacing w:beforeAutospacing="1" w:afterAutospacing="1"/>
        <w:ind w:left="644"/>
        <w:rPr>
          <w:snapToGrid/>
          <w:szCs w:val="24"/>
          <w:lang w:val="mk-MK" w:eastAsia="mk-MK"/>
        </w:rPr>
      </w:pPr>
      <w:bookmarkStart w:id="20" w:name="_Hlk160467923"/>
      <w:r w:rsidRPr="00DE10E1">
        <w:rPr>
          <w:snapToGrid/>
          <w:sz w:val="22"/>
          <w:szCs w:val="22"/>
          <w:lang w:val="en-GB" w:eastAsia="mk-MK"/>
        </w:rPr>
        <w:t xml:space="preserve">The tenderer must have successfully implemented at least one (1) contract of similar nature during the last </w:t>
      </w:r>
      <w:r>
        <w:rPr>
          <w:snapToGrid/>
          <w:sz w:val="22"/>
          <w:szCs w:val="22"/>
          <w:lang w:val="en-GB" w:eastAsia="mk-MK"/>
        </w:rPr>
        <w:t>four</w:t>
      </w:r>
      <w:r w:rsidRPr="00DE10E1">
        <w:rPr>
          <w:snapToGrid/>
          <w:sz w:val="22"/>
          <w:szCs w:val="22"/>
          <w:lang w:val="en-GB" w:eastAsia="mk-MK"/>
        </w:rPr>
        <w:t xml:space="preserve"> (</w:t>
      </w:r>
      <w:r>
        <w:rPr>
          <w:snapToGrid/>
          <w:sz w:val="22"/>
          <w:szCs w:val="22"/>
          <w:lang w:val="en-GB" w:eastAsia="mk-MK"/>
        </w:rPr>
        <w:t>4</w:t>
      </w:r>
      <w:r w:rsidRPr="00DE10E1">
        <w:rPr>
          <w:snapToGrid/>
          <w:sz w:val="22"/>
          <w:szCs w:val="22"/>
          <w:lang w:val="en-GB" w:eastAsia="mk-MK"/>
        </w:rPr>
        <w:t>) years related to:healthcare support services</w:t>
      </w:r>
      <w:r>
        <w:rPr>
          <w:snapToGrid/>
          <w:sz w:val="22"/>
          <w:szCs w:val="22"/>
          <w:lang w:val="en-GB" w:eastAsia="mk-MK"/>
        </w:rPr>
        <w:t xml:space="preserve">, </w:t>
      </w:r>
      <w:r w:rsidRPr="00DE10E1">
        <w:rPr>
          <w:snapToGrid/>
          <w:sz w:val="22"/>
          <w:szCs w:val="22"/>
          <w:lang w:val="en-GB" w:eastAsia="mk-MK"/>
        </w:rPr>
        <w:t>social care/community-based care activities</w:t>
      </w:r>
      <w:r>
        <w:rPr>
          <w:snapToGrid/>
          <w:sz w:val="22"/>
          <w:szCs w:val="22"/>
          <w:lang w:val="en-GB" w:eastAsia="mk-MK"/>
        </w:rPr>
        <w:t xml:space="preserve">, </w:t>
      </w:r>
      <w:r w:rsidRPr="00DE10E1">
        <w:rPr>
          <w:snapToGrid/>
          <w:sz w:val="22"/>
          <w:szCs w:val="22"/>
          <w:lang w:val="en-GB" w:eastAsia="mk-MK"/>
        </w:rPr>
        <w:t>organization of trainings/events/workshops</w:t>
      </w:r>
      <w:r>
        <w:rPr>
          <w:snapToGrid/>
          <w:sz w:val="22"/>
          <w:szCs w:val="22"/>
          <w:lang w:val="en-GB" w:eastAsia="mk-MK"/>
        </w:rPr>
        <w:t xml:space="preserve">, </w:t>
      </w:r>
      <w:r w:rsidRPr="00DE10E1">
        <w:rPr>
          <w:snapToGrid/>
          <w:sz w:val="22"/>
          <w:szCs w:val="22"/>
          <w:lang w:val="en-GB" w:eastAsia="mk-MK"/>
        </w:rPr>
        <w:t>psychosocial support activities</w:t>
      </w:r>
      <w:r>
        <w:rPr>
          <w:sz w:val="22"/>
          <w:szCs w:val="22"/>
          <w:lang w:val="en-GB"/>
        </w:rPr>
        <w:t>and/or other relevant areas</w:t>
      </w:r>
      <w:r w:rsidRPr="00DE10E1">
        <w:rPr>
          <w:snapToGrid/>
          <w:szCs w:val="24"/>
          <w:lang w:val="mk-MK" w:eastAsia="mk-MK"/>
        </w:rPr>
        <w:t>.</w:t>
      </w:r>
    </w:p>
    <w:p w:rsidR="001A4F1E" w:rsidRDefault="00DE10E1" w:rsidP="00DE10E1">
      <w:pPr>
        <w:pStyle w:val="Blockquote"/>
        <w:numPr>
          <w:ilvl w:val="0"/>
          <w:numId w:val="34"/>
        </w:numPr>
        <w:tabs>
          <w:tab w:val="clear" w:pos="360"/>
        </w:tabs>
        <w:spacing w:before="0" w:after="120" w:line="240" w:lineRule="atLeast"/>
        <w:ind w:left="1080" w:right="26"/>
        <w:jc w:val="both"/>
        <w:rPr>
          <w:sz w:val="22"/>
          <w:szCs w:val="22"/>
          <w:lang w:val="en-GB"/>
        </w:rPr>
      </w:pPr>
      <w:r>
        <w:rPr>
          <w:sz w:val="22"/>
          <w:szCs w:val="22"/>
          <w:lang w:val="en-GB"/>
        </w:rPr>
        <w:t>T</w:t>
      </w:r>
      <w:r w:rsidR="001A4F1E" w:rsidRPr="008B41E7">
        <w:rPr>
          <w:sz w:val="22"/>
          <w:szCs w:val="22"/>
          <w:lang w:val="en-GB"/>
        </w:rPr>
        <w:t>he value of the service</w:t>
      </w:r>
      <w:r w:rsidR="001A4F1E" w:rsidRPr="005C26A3">
        <w:rPr>
          <w:sz w:val="22"/>
          <w:szCs w:val="22"/>
          <w:lang w:val="en-GB"/>
        </w:rPr>
        <w:t xml:space="preserve"> completed must not be less than </w:t>
      </w:r>
      <w:r>
        <w:rPr>
          <w:b/>
          <w:bCs/>
          <w:sz w:val="22"/>
          <w:szCs w:val="22"/>
          <w:lang w:val="en-GB"/>
        </w:rPr>
        <w:t>40</w:t>
      </w:r>
      <w:r w:rsidR="008B41E7">
        <w:rPr>
          <w:b/>
          <w:bCs/>
          <w:sz w:val="22"/>
          <w:szCs w:val="22"/>
          <w:lang w:val="en-GB"/>
        </w:rPr>
        <w:t>00</w:t>
      </w:r>
      <w:r w:rsidR="001A4F1E" w:rsidRPr="002D18CF">
        <w:rPr>
          <w:b/>
          <w:bCs/>
          <w:sz w:val="22"/>
          <w:szCs w:val="22"/>
          <w:lang w:val="en-GB"/>
        </w:rPr>
        <w:t xml:space="preserve"> EUR</w:t>
      </w:r>
      <w:r w:rsidR="001A4F1E" w:rsidRPr="005C26A3">
        <w:rPr>
          <w:sz w:val="22"/>
          <w:szCs w:val="22"/>
          <w:lang w:val="en-GB"/>
        </w:rPr>
        <w:t xml:space="preserve">. </w:t>
      </w:r>
      <w:bookmarkEnd w:id="20"/>
    </w:p>
    <w:p w:rsidR="007121FB" w:rsidRPr="00B33EE6" w:rsidRDefault="00B644B9" w:rsidP="001A6777">
      <w:pPr>
        <w:pStyle w:val="Blockquote"/>
        <w:tabs>
          <w:tab w:val="left" w:pos="284"/>
        </w:tabs>
        <w:ind w:right="26"/>
        <w:jc w:val="both"/>
        <w:rPr>
          <w:sz w:val="22"/>
          <w:szCs w:val="22"/>
          <w:lang w:val="en-GB"/>
        </w:rPr>
      </w:pPr>
      <w:r w:rsidRPr="00B644B9">
        <w:rPr>
          <w:sz w:val="22"/>
          <w:szCs w:val="22"/>
          <w:lang w:val="en-GB"/>
        </w:rPr>
        <w:t xml:space="preserve">This means that the service contract the tenderer refers to could have been </w:t>
      </w:r>
      <w:bookmarkStart w:id="21" w:name="_Hlk169267969"/>
      <w:r w:rsidR="001A4F1E">
        <w:rPr>
          <w:sz w:val="22"/>
          <w:szCs w:val="22"/>
          <w:lang w:val="en-GB"/>
        </w:rPr>
        <w:t>implemented</w:t>
      </w:r>
      <w:bookmarkEnd w:id="21"/>
      <w:r w:rsidRPr="00B644B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5C26A3">
        <w:rPr>
          <w:sz w:val="22"/>
          <w:szCs w:val="22"/>
          <w:lang w:val="en-GB"/>
        </w:rPr>
        <w:t xml:space="preserve">to projects </w:t>
      </w:r>
      <w:bookmarkStart w:id="22" w:name="_Hlk169268021"/>
      <w:r w:rsidR="001A4F1E" w:rsidRPr="005C26A3">
        <w:rPr>
          <w:sz w:val="22"/>
          <w:szCs w:val="22"/>
          <w:lang w:val="en-GB"/>
        </w:rPr>
        <w:t xml:space="preserve">partially implemented during, but </w:t>
      </w:r>
      <w:bookmarkEnd w:id="22"/>
      <w:r w:rsidR="001A4F1E" w:rsidRPr="005C26A3">
        <w:rPr>
          <w:sz w:val="22"/>
          <w:szCs w:val="22"/>
          <w:lang w:val="en-GB"/>
        </w:rPr>
        <w:t xml:space="preserve">not yet completed within the reference period. </w:t>
      </w:r>
      <w:r w:rsidRPr="00B644B9">
        <w:rPr>
          <w:sz w:val="22"/>
          <w:szCs w:val="22"/>
          <w:lang w:val="en-GB"/>
        </w:rPr>
        <w:t xml:space="preserve">Only the </w:t>
      </w:r>
      <w:r w:rsidR="001A4F1E">
        <w:rPr>
          <w:sz w:val="22"/>
          <w:szCs w:val="22"/>
          <w:lang w:val="en-GB"/>
        </w:rPr>
        <w:t xml:space="preserve">part </w:t>
      </w:r>
      <w:r w:rsidRPr="00B644B9">
        <w:rPr>
          <w:sz w:val="22"/>
          <w:szCs w:val="22"/>
          <w:lang w:val="en-GB"/>
        </w:rPr>
        <w:t xml:space="preserve">completed during the reference period will be taken into consideration. This </w:t>
      </w:r>
      <w:r w:rsidR="001A4F1E">
        <w:rPr>
          <w:sz w:val="22"/>
          <w:szCs w:val="22"/>
          <w:lang w:val="en-GB"/>
        </w:rPr>
        <w:t xml:space="preserve">part </w:t>
      </w:r>
      <w:r w:rsidRPr="00B644B9">
        <w:rPr>
          <w:sz w:val="22"/>
          <w:szCs w:val="22"/>
          <w:lang w:val="en-GB"/>
        </w:rPr>
        <w:t>will have to be supported by documentary evidence (</w:t>
      </w:r>
      <w:bookmarkStart w:id="23" w:name="_Hlk169268107"/>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w:t>
      </w:r>
      <w:bookmarkEnd w:id="23"/>
      <w:r w:rsidRPr="00B644B9">
        <w:rPr>
          <w:sz w:val="22"/>
          <w:szCs w:val="22"/>
          <w:lang w:val="en-GB"/>
        </w:rPr>
        <w:t xml:space="preserve">statement or certificate from the entity which awarded the contract) also detailing its value. If a tenderer has implemented the </w:t>
      </w:r>
      <w:r w:rsidR="001A4F1E">
        <w:rPr>
          <w:sz w:val="22"/>
          <w:szCs w:val="22"/>
          <w:lang w:val="en-GB"/>
        </w:rPr>
        <w:t xml:space="preserve">project </w:t>
      </w:r>
      <w:r w:rsidRPr="00B644B9">
        <w:rPr>
          <w:sz w:val="22"/>
          <w:szCs w:val="22"/>
          <w:lang w:val="en-GB"/>
        </w:rPr>
        <w:t>in a consortium, the percentage that the tenderer has successfully completed must be clear from the documentary evidence</w:t>
      </w:r>
      <w:r w:rsidR="0068424D">
        <w:rPr>
          <w:sz w:val="22"/>
          <w:szCs w:val="22"/>
          <w:lang w:val="en-GB"/>
        </w:rPr>
        <w:t>(</w:t>
      </w:r>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statement or certificate from the entity which awarded the contract) also detailing its value. If a candidate has implemented the project in a consortium, the part that the candidate has successfully completed must be clear from the documentary </w:t>
      </w:r>
      <w:bookmarkStart w:id="24" w:name="_Hlk169268155"/>
      <w:r w:rsidR="001A4F1E" w:rsidRPr="005C26A3">
        <w:rPr>
          <w:sz w:val="22"/>
          <w:szCs w:val="22"/>
          <w:lang w:val="en-GB"/>
        </w:rPr>
        <w:t>evidence (such as consortium agreement and bank transfers between consortium members</w:t>
      </w:r>
      <w:r w:rsidR="001A4F1E">
        <w:rPr>
          <w:sz w:val="22"/>
          <w:szCs w:val="22"/>
          <w:lang w:val="en-GB"/>
        </w:rPr>
        <w:t>)</w:t>
      </w:r>
      <w:bookmarkEnd w:id="24"/>
      <w:r w:rsidRPr="00B644B9">
        <w:rPr>
          <w:sz w:val="22"/>
          <w:szCs w:val="22"/>
          <w:lang w:val="en-GB"/>
        </w:rPr>
        <w:t>, together with a description of the nature of the services provided.</w:t>
      </w:r>
    </w:p>
    <w:p w:rsidR="006F5FD0" w:rsidRPr="00B33EE6" w:rsidRDefault="00994EA3" w:rsidP="001A6777">
      <w:pPr>
        <w:ind w:left="426" w:hanging="426"/>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A74EDE">
        <w:rPr>
          <w:rStyle w:val="Strong"/>
          <w:sz w:val="22"/>
          <w:szCs w:val="22"/>
          <w:lang w:val="en-GB"/>
        </w:rPr>
        <w:tab/>
      </w:r>
      <w:r w:rsidR="006F5FD0" w:rsidRPr="00B33EE6">
        <w:rPr>
          <w:rStyle w:val="Strong"/>
          <w:sz w:val="22"/>
          <w:szCs w:val="22"/>
          <w:lang w:val="en-GB"/>
        </w:rPr>
        <w:t>Award criteria</w:t>
      </w:r>
    </w:p>
    <w:p w:rsidR="006F5FD0" w:rsidRPr="00B33EE6" w:rsidRDefault="00F33539" w:rsidP="001A6777">
      <w:pPr>
        <w:pStyle w:val="Blockquote"/>
        <w:ind w:right="1"/>
        <w:jc w:val="both"/>
        <w:rPr>
          <w:sz w:val="22"/>
          <w:szCs w:val="22"/>
          <w:lang w:val="en-GB"/>
        </w:rPr>
      </w:pPr>
      <w:r w:rsidRPr="009C197A">
        <w:rPr>
          <w:sz w:val="22"/>
          <w:szCs w:val="22"/>
          <w:lang w:val="en-GB"/>
        </w:rPr>
        <w:t>Best</w:t>
      </w:r>
      <w:r w:rsidR="00060001" w:rsidRPr="001A6777">
        <w:rPr>
          <w:sz w:val="22"/>
          <w:szCs w:val="22"/>
          <w:lang w:val="en-GB"/>
        </w:rPr>
        <w:t xml:space="preserve">price-quality </w:t>
      </w:r>
      <w:r w:rsidRPr="001A6777">
        <w:rPr>
          <w:sz w:val="22"/>
          <w:szCs w:val="22"/>
          <w:lang w:val="en-GB"/>
        </w:rPr>
        <w:t>ratio.</w:t>
      </w:r>
    </w:p>
    <w:p w:rsidR="006F5FD0" w:rsidRPr="00B33EE6" w:rsidRDefault="006F5FD0" w:rsidP="001A6777">
      <w:pPr>
        <w:keepNext/>
        <w:keepLines/>
        <w:widowControl/>
        <w:rPr>
          <w:sz w:val="22"/>
          <w:szCs w:val="22"/>
          <w:lang w:val="en-GB"/>
        </w:rPr>
      </w:pPr>
    </w:p>
    <w:p w:rsidR="006F5FD0" w:rsidRPr="00B33EE6" w:rsidRDefault="00A81157" w:rsidP="001A6777">
      <w:pPr>
        <w:keepNext/>
        <w:keepLines/>
        <w:widowControl/>
        <w:spacing w:after="240"/>
        <w:jc w:val="center"/>
        <w:rPr>
          <w:sz w:val="28"/>
          <w:szCs w:val="28"/>
          <w:lang w:val="en-GB"/>
        </w:rPr>
      </w:pPr>
      <w:r w:rsidRPr="00A81157">
        <w:rPr>
          <w:snapToGrid/>
          <w:sz w:val="22"/>
          <w:szCs w:val="22"/>
          <w:lang w:val="en-GB"/>
        </w:rPr>
        <w:pict>
          <v:line id="_x0000_s2055" style="position:absolute;left:0;text-align:left;z-index:251659776" from="1.5pt,-6.35pt" to="469.5pt,-6.3pt" o:allowincell="f" strokecolor="#d4d4d4" strokeweight="1.75pt">
            <v:shadow on="t" origin=",32385f" offset="0,-1pt"/>
          </v:line>
        </w:pict>
      </w:r>
      <w:r w:rsidR="00994EA3" w:rsidRPr="00B33EE6">
        <w:rPr>
          <w:rStyle w:val="Strong"/>
          <w:sz w:val="28"/>
          <w:szCs w:val="28"/>
          <w:lang w:val="en-GB"/>
        </w:rPr>
        <w:t>TENDERING</w:t>
      </w:r>
    </w:p>
    <w:p w:rsidR="006F5FD0" w:rsidRPr="001A6777" w:rsidRDefault="00994EA3" w:rsidP="001A6777">
      <w:pPr>
        <w:keepNext/>
        <w:keepLines/>
        <w:widowControl/>
        <w:ind w:left="426" w:hanging="426"/>
        <w:outlineLvl w:val="0"/>
        <w:rPr>
          <w:rStyle w:val="Strong"/>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rsidP="001A6777">
      <w:pPr>
        <w:pStyle w:val="Blockquote"/>
        <w:keepNext/>
        <w:keepLines/>
        <w:widowControl/>
        <w:ind w:lef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rsidR="006F5FD0" w:rsidRPr="001A6777" w:rsidRDefault="00994EA3" w:rsidP="001A6777">
      <w:pPr>
        <w:ind w:left="426" w:hanging="426"/>
        <w:outlineLvl w:val="0"/>
        <w:rPr>
          <w:rStyle w:val="Strong"/>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A74EDE" w:rsidRDefault="00994EA3" w:rsidP="001A6777">
      <w:pPr>
        <w:pStyle w:val="Blockquote"/>
        <w:spacing w:after="0"/>
        <w:ind w:left="0" w:right="28"/>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p>
    <w:p w:rsidR="006F5FD0" w:rsidRPr="00B33EE6" w:rsidRDefault="00A81157" w:rsidP="001A6777">
      <w:pPr>
        <w:pStyle w:val="Blockquote"/>
        <w:ind w:left="0" w:right="26"/>
        <w:jc w:val="both"/>
        <w:rPr>
          <w:sz w:val="22"/>
          <w:szCs w:val="22"/>
          <w:lang w:val="en-GB"/>
        </w:rPr>
      </w:pPr>
      <w:hyperlink r:id="rId8" w:anchor="Annexes-AnnexesB(Ch.3):Servicecontracts" w:history="1">
        <w:r w:rsidR="00706ADA" w:rsidRPr="00706ADA">
          <w:rPr>
            <w:rStyle w:val="Hyperlink"/>
            <w:sz w:val="22"/>
            <w:szCs w:val="22"/>
            <w:lang w:val="en-GB"/>
          </w:rPr>
          <w:t>https://wikis.ec.europa.eu/display/ExactExternalWiki/Annexes#Annexes-AnnexesB(Ch.3):Servicecontracts</w:t>
        </w:r>
      </w:hyperlink>
      <w:r w:rsidR="00706ADA">
        <w:rPr>
          <w:sz w:val="22"/>
          <w:szCs w:val="22"/>
          <w:lang w:val="en-GB"/>
        </w:rPr>
        <w:t xml:space="preserve">, </w:t>
      </w:r>
      <w:r w:rsidR="006714ED" w:rsidRPr="00B33EE6">
        <w:rPr>
          <w:sz w:val="22"/>
          <w:szCs w:val="22"/>
          <w:lang w:val="en-GB"/>
        </w:rPr>
        <w:t xml:space="preserve">under the zip file called Simplified Tender dossier. </w:t>
      </w:r>
    </w:p>
    <w:p w:rsidR="004D5EDB" w:rsidRPr="00B33EE6" w:rsidRDefault="004D5EDB" w:rsidP="001A6777">
      <w:pPr>
        <w:pStyle w:val="Blockquote"/>
        <w:ind w:left="0" w:right="26"/>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706ADA" w:rsidRDefault="00A81157" w:rsidP="001A6777">
      <w:pPr>
        <w:pStyle w:val="Blockquote"/>
        <w:ind w:left="0" w:right="26"/>
        <w:jc w:val="both"/>
        <w:rPr>
          <w:sz w:val="22"/>
          <w:szCs w:val="22"/>
          <w:lang w:val="en-GB"/>
        </w:rPr>
      </w:pPr>
      <w:hyperlink r:id="rId9" w:anchor="Annexes-AnnexesA(Ch.2):General" w:history="1">
        <w:r w:rsidR="00323016" w:rsidRPr="00C14D56">
          <w:rPr>
            <w:rStyle w:val="Hyperlink"/>
            <w:sz w:val="22"/>
            <w:szCs w:val="22"/>
          </w:rPr>
          <w:t>https://wikis.ec.europa.eu/display/ExactExternalWiki/Annexes#Annexes-AnnexesA(Ch.2):General</w:t>
        </w:r>
      </w:hyperlink>
    </w:p>
    <w:p w:rsidR="006F5FD0" w:rsidRPr="00B33EE6" w:rsidRDefault="006F5FD0" w:rsidP="001A6777">
      <w:pPr>
        <w:pStyle w:val="Blockquote"/>
        <w:ind w:left="0" w:right="26"/>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1A6777" w:rsidRDefault="006F5FD0"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rsidR="006F5FD0" w:rsidRPr="00B33EE6" w:rsidRDefault="006714ED" w:rsidP="001A6777">
      <w:pPr>
        <w:pStyle w:val="Blockquote"/>
        <w:ind w:left="0" w:right="26"/>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rsidR="00EF03C9" w:rsidRPr="00B33EE6" w:rsidRDefault="006714ED" w:rsidP="001A6777">
      <w:pPr>
        <w:pStyle w:val="Blockquote"/>
        <w:ind w:left="0" w:right="26"/>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1A6777">
      <w:pPr>
        <w:pStyle w:val="Blockquote"/>
        <w:ind w:left="0" w:right="26"/>
        <w:jc w:val="both"/>
        <w:rPr>
          <w:rStyle w:val="Strong"/>
          <w:b w:val="0"/>
          <w:sz w:val="22"/>
          <w:szCs w:val="22"/>
          <w:lang w:val="en-GB"/>
        </w:rPr>
      </w:pPr>
      <w:r w:rsidRPr="00B33EE6">
        <w:rPr>
          <w:sz w:val="22"/>
          <w:szCs w:val="22"/>
          <w:lang w:val="en-GB"/>
        </w:rPr>
        <w:t>By submitting a tender</w:t>
      </w:r>
      <w:r w:rsidR="001A4F1E">
        <w:rPr>
          <w:sz w:val="22"/>
          <w:szCs w:val="22"/>
          <w:lang w:val="en-GB"/>
        </w:rPr>
        <w:t>,</w:t>
      </w:r>
      <w:r w:rsidRPr="00B33EE6">
        <w:rPr>
          <w:sz w:val="22"/>
          <w:szCs w:val="22"/>
          <w:lang w:val="en-GB"/>
        </w:rPr>
        <w:t xml:space="preserve"> tenderers accept to receive notification of the outcome of the procedure by electronic means.</w:t>
      </w:r>
    </w:p>
    <w:p w:rsidR="003262FC"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1A6777">
      <w:pPr>
        <w:pStyle w:val="Blockquote"/>
        <w:ind w:left="0" w:right="26"/>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1A6777">
      <w:pPr>
        <w:pStyle w:val="Blockquote"/>
        <w:ind w:left="0" w:right="26"/>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rsidP="001A6777">
      <w:pPr>
        <w:pStyle w:val="Blockquote"/>
        <w:ind w:left="0"/>
        <w:jc w:val="both"/>
        <w:rPr>
          <w:i/>
          <w:sz w:val="22"/>
          <w:szCs w:val="22"/>
          <w:lang w:val="en-GB"/>
        </w:rPr>
      </w:pPr>
      <w:r w:rsidRPr="00B33EE6">
        <w:rPr>
          <w:rStyle w:val="Emphasis"/>
          <w:i w:val="0"/>
          <w:sz w:val="22"/>
          <w:szCs w:val="22"/>
          <w:lang w:val="en-GB"/>
        </w:rPr>
        <w:t>All written communications for this tender procedure and contract must be in English.</w:t>
      </w:r>
    </w:p>
    <w:p w:rsidR="00E9047D" w:rsidRPr="001A6777" w:rsidRDefault="00326B16" w:rsidP="001A6777">
      <w:pPr>
        <w:keepNext/>
        <w:keepLines/>
        <w:widowControl/>
        <w:ind w:left="426" w:hanging="426"/>
        <w:outlineLvl w:val="0"/>
        <w:rPr>
          <w:rStyle w:val="Strong"/>
        </w:rPr>
      </w:pPr>
      <w:r w:rsidRPr="001A6777">
        <w:rPr>
          <w:rStyle w:val="Strong"/>
        </w:rPr>
        <w:lastRenderedPageBreak/>
        <w:t>23</w:t>
      </w:r>
      <w:r w:rsidR="008272C0" w:rsidRPr="001A6777">
        <w:rPr>
          <w:rStyle w:val="Strong"/>
        </w:rPr>
        <w:t>.</w:t>
      </w:r>
      <w:r w:rsidR="00D3113D">
        <w:rPr>
          <w:rStyle w:val="Strong"/>
        </w:rPr>
        <w:tab/>
      </w:r>
      <w:r w:rsidR="00E9047D" w:rsidRPr="001A6777">
        <w:rPr>
          <w:rStyle w:val="Strong"/>
        </w:rPr>
        <w:t>Additional information</w:t>
      </w:r>
    </w:p>
    <w:p w:rsidR="008B41E7" w:rsidRPr="00D0587F" w:rsidRDefault="008B41E7" w:rsidP="00386823">
      <w:pPr>
        <w:widowControl/>
        <w:snapToGrid w:val="0"/>
        <w:spacing w:after="0"/>
        <w:ind w:right="26"/>
        <w:jc w:val="both"/>
        <w:rPr>
          <w:sz w:val="22"/>
          <w:szCs w:val="22"/>
          <w:lang w:val="en-GB"/>
        </w:rPr>
      </w:pPr>
      <w:r w:rsidRPr="00D0587F">
        <w:rPr>
          <w:sz w:val="22"/>
          <w:szCs w:val="22"/>
          <w:lang w:val="en-GB"/>
        </w:rPr>
        <w:t xml:space="preserve">Financial data to be provided by the candidate in the standard application form must be expressed in EUR. If applicable, where a candidate refers to amounts originally expressed in a different currency, the conversion to EUR shall be made in accordance with the InforEuro exchange rate of </w:t>
      </w:r>
      <w:r w:rsidR="008B5E29">
        <w:rPr>
          <w:sz w:val="22"/>
          <w:szCs w:val="22"/>
          <w:lang w:val="en-GB"/>
        </w:rPr>
        <w:t>0</w:t>
      </w:r>
      <w:r w:rsidR="00DE10E1">
        <w:rPr>
          <w:sz w:val="22"/>
          <w:szCs w:val="22"/>
          <w:lang w:val="en-GB"/>
        </w:rPr>
        <w:t>6</w:t>
      </w:r>
      <w:r w:rsidRPr="00D0587F">
        <w:rPr>
          <w:sz w:val="22"/>
          <w:szCs w:val="22"/>
          <w:lang w:val="en-GB"/>
        </w:rPr>
        <w:t>.202</w:t>
      </w:r>
      <w:r w:rsidR="008B5E29">
        <w:rPr>
          <w:sz w:val="22"/>
          <w:szCs w:val="22"/>
          <w:lang w:val="en-GB"/>
        </w:rPr>
        <w:t>6</w:t>
      </w:r>
      <w:r w:rsidRPr="00D0587F">
        <w:rPr>
          <w:sz w:val="22"/>
          <w:szCs w:val="22"/>
          <w:lang w:val="en-GB"/>
        </w:rPr>
        <w:t xml:space="preserve">, which can be found at the following address: </w:t>
      </w:r>
      <w:hyperlink r:id="rId10" w:history="1">
        <w:r w:rsidRPr="00D0587F">
          <w:rPr>
            <w:rStyle w:val="Hyperlink"/>
            <w:sz w:val="22"/>
            <w:szCs w:val="22"/>
            <w:lang w:val="en-GB"/>
          </w:rPr>
          <w:t>http://ec.europa.eu/budget/graphs/inforeuro.html</w:t>
        </w:r>
      </w:hyperlink>
      <w:r w:rsidRPr="00D0587F">
        <w:rPr>
          <w:sz w:val="22"/>
          <w:szCs w:val="22"/>
          <w:lang w:val="en-GB"/>
        </w:rPr>
        <w:t>.</w:t>
      </w:r>
    </w:p>
    <w:p w:rsidR="007F6AA9" w:rsidRPr="00F9055E" w:rsidRDefault="00D3113D" w:rsidP="001A6777">
      <w:pPr>
        <w:pStyle w:val="Blockquote"/>
        <w:spacing w:before="840" w:afterAutospacing="1"/>
        <w:ind w:left="357" w:right="357"/>
        <w:jc w:val="center"/>
        <w:rPr>
          <w:sz w:val="22"/>
          <w:szCs w:val="22"/>
          <w:lang w:val="en-GB"/>
        </w:rPr>
      </w:pPr>
      <w:r>
        <w:rPr>
          <w:sz w:val="22"/>
          <w:szCs w:val="22"/>
          <w:lang w:val="en-GB"/>
        </w:rPr>
        <w:t>* * *</w:t>
      </w:r>
    </w:p>
    <w:sectPr w:rsidR="007F6AA9" w:rsidRPr="00F9055E" w:rsidSect="00E147D3">
      <w:headerReference w:type="default" r:id="rId11"/>
      <w:footerReference w:type="default" r:id="rId12"/>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5B0" w:rsidRDefault="00FF45B0">
      <w:r>
        <w:separator/>
      </w:r>
    </w:p>
  </w:endnote>
  <w:endnote w:type="continuationSeparator" w:id="1">
    <w:p w:rsidR="00FF45B0" w:rsidRDefault="00FF45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EF0A8C" w:rsidRPr="00B33EE6">
      <w:rPr>
        <w:sz w:val="18"/>
        <w:szCs w:val="18"/>
        <w:lang w:val="en-GB"/>
      </w:rPr>
      <w:tab/>
      <w:t xml:space="preserve">Page </w:t>
    </w:r>
    <w:r w:rsidR="00A81157"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A81157" w:rsidRPr="00B33EE6">
      <w:rPr>
        <w:rStyle w:val="PageNumber"/>
        <w:sz w:val="18"/>
        <w:szCs w:val="18"/>
        <w:lang w:val="en-GB"/>
      </w:rPr>
      <w:fldChar w:fldCharType="separate"/>
    </w:r>
    <w:r w:rsidR="00A528A2">
      <w:rPr>
        <w:rStyle w:val="PageNumber"/>
        <w:noProof/>
        <w:sz w:val="18"/>
        <w:szCs w:val="18"/>
        <w:lang w:val="en-GB"/>
      </w:rPr>
      <w:t>1</w:t>
    </w:r>
    <w:r w:rsidR="00A81157"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A528A2" w:rsidRPr="00A528A2">
        <w:rPr>
          <w:rStyle w:val="PageNumber"/>
          <w:noProof/>
          <w:sz w:val="18"/>
          <w:szCs w:val="18"/>
          <w:lang w:val="en-GB"/>
        </w:rPr>
        <w:t>7</w:t>
      </w:r>
    </w:fldSimple>
  </w:p>
  <w:p w:rsidR="00EF0A8C" w:rsidRPr="00B33EE6" w:rsidRDefault="00A81157" w:rsidP="001A650B">
    <w:pPr>
      <w:pStyle w:val="Footer"/>
      <w:spacing w:before="0" w:after="0"/>
      <w:rPr>
        <w:lang w:val="en-GB"/>
      </w:rPr>
    </w:pPr>
    <w:fldSimple w:instr=" FILENAME   \* MERGEFORMAT ">
      <w:r w:rsidR="001A650B">
        <w:rPr>
          <w:noProof/>
          <w:sz w:val="18"/>
          <w:szCs w:val="18"/>
          <w:lang w:val="en-GB"/>
        </w:rPr>
        <w:t>b8o3_contractnotice_simp_neg_en.docx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5B0" w:rsidRDefault="00FF45B0">
      <w:r>
        <w:separator/>
      </w:r>
    </w:p>
  </w:footnote>
  <w:footnote w:type="continuationSeparator" w:id="1">
    <w:p w:rsidR="00FF45B0" w:rsidRDefault="00FF45B0">
      <w:r>
        <w:continuationSeparator/>
      </w:r>
    </w:p>
  </w:footnote>
  <w:footnote w:id="2">
    <w:p w:rsidR="00B55A6D" w:rsidRPr="001A6777" w:rsidRDefault="00B55A6D" w:rsidP="001A6777">
      <w:pPr>
        <w:pStyle w:val="FootnoteText"/>
        <w:ind w:left="284" w:hanging="284"/>
        <w:rPr>
          <w:lang w:val="en-IE"/>
        </w:rPr>
      </w:pPr>
      <w:r>
        <w:rPr>
          <w:rStyle w:val="FootnoteReference"/>
        </w:rPr>
        <w:footnoteRef/>
      </w:r>
      <w:r w:rsidR="0008338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12" w:rsidRDefault="00A81157" w:rsidP="003E2C12">
    <w:pPr>
      <w:pStyle w:val="NormalWeb"/>
      <w:tabs>
        <w:tab w:val="left" w:pos="456"/>
        <w:tab w:val="right" w:pos="8794"/>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81pt">
          <v:imagedata r:id="rId1" o:title="final"/>
        </v:shape>
      </w:pict>
    </w:r>
  </w:p>
  <w:p w:rsidR="003E2C12" w:rsidRDefault="003E2C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134692A"/>
    <w:multiLevelType w:val="hybridMultilevel"/>
    <w:tmpl w:val="872056F6"/>
    <w:lvl w:ilvl="0" w:tplc="042F0001">
      <w:start w:val="1"/>
      <w:numFmt w:val="bullet"/>
      <w:lvlText w:val=""/>
      <w:lvlJc w:val="left"/>
      <w:pPr>
        <w:ind w:left="1713" w:hanging="360"/>
      </w:pPr>
      <w:rPr>
        <w:rFonts w:ascii="Symbol" w:hAnsi="Symbol" w:hint="default"/>
      </w:rPr>
    </w:lvl>
    <w:lvl w:ilvl="1" w:tplc="042F0003" w:tentative="1">
      <w:start w:val="1"/>
      <w:numFmt w:val="bullet"/>
      <w:lvlText w:val="o"/>
      <w:lvlJc w:val="left"/>
      <w:pPr>
        <w:ind w:left="2433" w:hanging="360"/>
      </w:pPr>
      <w:rPr>
        <w:rFonts w:ascii="Courier New" w:hAnsi="Courier New" w:cs="Courier New" w:hint="default"/>
      </w:rPr>
    </w:lvl>
    <w:lvl w:ilvl="2" w:tplc="042F0005" w:tentative="1">
      <w:start w:val="1"/>
      <w:numFmt w:val="bullet"/>
      <w:lvlText w:val=""/>
      <w:lvlJc w:val="left"/>
      <w:pPr>
        <w:ind w:left="3153" w:hanging="360"/>
      </w:pPr>
      <w:rPr>
        <w:rFonts w:ascii="Wingdings" w:hAnsi="Wingdings" w:hint="default"/>
      </w:rPr>
    </w:lvl>
    <w:lvl w:ilvl="3" w:tplc="042F0001" w:tentative="1">
      <w:start w:val="1"/>
      <w:numFmt w:val="bullet"/>
      <w:lvlText w:val=""/>
      <w:lvlJc w:val="left"/>
      <w:pPr>
        <w:ind w:left="3873" w:hanging="360"/>
      </w:pPr>
      <w:rPr>
        <w:rFonts w:ascii="Symbol" w:hAnsi="Symbol" w:hint="default"/>
      </w:rPr>
    </w:lvl>
    <w:lvl w:ilvl="4" w:tplc="042F0003" w:tentative="1">
      <w:start w:val="1"/>
      <w:numFmt w:val="bullet"/>
      <w:lvlText w:val="o"/>
      <w:lvlJc w:val="left"/>
      <w:pPr>
        <w:ind w:left="4593" w:hanging="360"/>
      </w:pPr>
      <w:rPr>
        <w:rFonts w:ascii="Courier New" w:hAnsi="Courier New" w:cs="Courier New" w:hint="default"/>
      </w:rPr>
    </w:lvl>
    <w:lvl w:ilvl="5" w:tplc="042F0005" w:tentative="1">
      <w:start w:val="1"/>
      <w:numFmt w:val="bullet"/>
      <w:lvlText w:val=""/>
      <w:lvlJc w:val="left"/>
      <w:pPr>
        <w:ind w:left="5313" w:hanging="360"/>
      </w:pPr>
      <w:rPr>
        <w:rFonts w:ascii="Wingdings" w:hAnsi="Wingdings" w:hint="default"/>
      </w:rPr>
    </w:lvl>
    <w:lvl w:ilvl="6" w:tplc="042F0001" w:tentative="1">
      <w:start w:val="1"/>
      <w:numFmt w:val="bullet"/>
      <w:lvlText w:val=""/>
      <w:lvlJc w:val="left"/>
      <w:pPr>
        <w:ind w:left="6033" w:hanging="360"/>
      </w:pPr>
      <w:rPr>
        <w:rFonts w:ascii="Symbol" w:hAnsi="Symbol" w:hint="default"/>
      </w:rPr>
    </w:lvl>
    <w:lvl w:ilvl="7" w:tplc="042F0003" w:tentative="1">
      <w:start w:val="1"/>
      <w:numFmt w:val="bullet"/>
      <w:lvlText w:val="o"/>
      <w:lvlJc w:val="left"/>
      <w:pPr>
        <w:ind w:left="6753" w:hanging="360"/>
      </w:pPr>
      <w:rPr>
        <w:rFonts w:ascii="Courier New" w:hAnsi="Courier New" w:cs="Courier New" w:hint="default"/>
      </w:rPr>
    </w:lvl>
    <w:lvl w:ilvl="8" w:tplc="042F0005" w:tentative="1">
      <w:start w:val="1"/>
      <w:numFmt w:val="bullet"/>
      <w:lvlText w:val=""/>
      <w:lvlJc w:val="left"/>
      <w:pPr>
        <w:ind w:left="7473" w:hanging="360"/>
      </w:pPr>
      <w:rPr>
        <w:rFonts w:ascii="Wingdings" w:hAnsi="Wingdings" w:hint="default"/>
      </w:rPr>
    </w:lvl>
  </w:abstractNum>
  <w:abstractNum w:abstractNumId="34">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8">
    <w:nsid w:val="0DF0515F"/>
    <w:multiLevelType w:val="hybridMultilevel"/>
    <w:tmpl w:val="0356476E"/>
    <w:lvl w:ilvl="0" w:tplc="04090001">
      <w:start w:val="1"/>
      <w:numFmt w:val="bullet"/>
      <w:lvlText w:val=""/>
      <w:lvlJc w:val="left"/>
      <w:pPr>
        <w:tabs>
          <w:tab w:val="num" w:pos="360"/>
        </w:tabs>
        <w:ind w:left="36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2">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6">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755C2854"/>
    <w:multiLevelType w:val="multilevel"/>
    <w:tmpl w:val="B9D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7"/>
  </w:num>
  <w:num w:numId="34">
    <w:abstractNumId w:val="46"/>
  </w:num>
  <w:num w:numId="35">
    <w:abstractNumId w:val="36"/>
  </w:num>
  <w:num w:numId="36">
    <w:abstractNumId w:val="34"/>
  </w:num>
  <w:num w:numId="37">
    <w:abstractNumId w:val="39"/>
  </w:num>
  <w:num w:numId="38">
    <w:abstractNumId w:val="42"/>
  </w:num>
  <w:num w:numId="39">
    <w:abstractNumId w:val="48"/>
  </w:num>
  <w:num w:numId="40">
    <w:abstractNumId w:val="49"/>
  </w:num>
  <w:num w:numId="41">
    <w:abstractNumId w:val="44"/>
  </w:num>
  <w:num w:numId="42">
    <w:abstractNumId w:val="47"/>
  </w:num>
  <w:num w:numId="43">
    <w:abstractNumId w:val="40"/>
  </w:num>
  <w:num w:numId="44">
    <w:abstractNumId w:val="35"/>
  </w:num>
  <w:num w:numId="45">
    <w:abstractNumId w:val="41"/>
  </w:num>
  <w:num w:numId="46">
    <w:abstractNumId w:val="43"/>
  </w:num>
  <w:num w:numId="47">
    <w:abstractNumId w:val="45"/>
  </w:num>
  <w:num w:numId="48">
    <w:abstractNumId w:val="33"/>
  </w:num>
  <w:num w:numId="49">
    <w:abstractNumId w:val="38"/>
  </w:num>
  <w:num w:numId="50">
    <w:abstractNumId w:val="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33FE"/>
    <w:rsid w:val="00051D1D"/>
    <w:rsid w:val="00060001"/>
    <w:rsid w:val="0006084A"/>
    <w:rsid w:val="00060EEF"/>
    <w:rsid w:val="00063FB5"/>
    <w:rsid w:val="00080900"/>
    <w:rsid w:val="0008338B"/>
    <w:rsid w:val="00083B7C"/>
    <w:rsid w:val="00087A72"/>
    <w:rsid w:val="00094707"/>
    <w:rsid w:val="00095030"/>
    <w:rsid w:val="000A0D57"/>
    <w:rsid w:val="000A3758"/>
    <w:rsid w:val="000B693E"/>
    <w:rsid w:val="000B7C91"/>
    <w:rsid w:val="000C1101"/>
    <w:rsid w:val="000C1522"/>
    <w:rsid w:val="000D1732"/>
    <w:rsid w:val="000D3847"/>
    <w:rsid w:val="000D3EBF"/>
    <w:rsid w:val="000D6803"/>
    <w:rsid w:val="000E4709"/>
    <w:rsid w:val="000F0F6C"/>
    <w:rsid w:val="000F1340"/>
    <w:rsid w:val="000F5DEF"/>
    <w:rsid w:val="0010162C"/>
    <w:rsid w:val="00105302"/>
    <w:rsid w:val="0013314C"/>
    <w:rsid w:val="00136E9F"/>
    <w:rsid w:val="0014405E"/>
    <w:rsid w:val="00145CFA"/>
    <w:rsid w:val="00150687"/>
    <w:rsid w:val="001661F7"/>
    <w:rsid w:val="00171F2E"/>
    <w:rsid w:val="00180D47"/>
    <w:rsid w:val="001903F3"/>
    <w:rsid w:val="001951FE"/>
    <w:rsid w:val="00195F75"/>
    <w:rsid w:val="001A4F1E"/>
    <w:rsid w:val="001A59BB"/>
    <w:rsid w:val="001A650B"/>
    <w:rsid w:val="001A6777"/>
    <w:rsid w:val="001B2571"/>
    <w:rsid w:val="001C21A2"/>
    <w:rsid w:val="001C31D6"/>
    <w:rsid w:val="001C64F1"/>
    <w:rsid w:val="001D19A6"/>
    <w:rsid w:val="001D55F7"/>
    <w:rsid w:val="001E2C11"/>
    <w:rsid w:val="001E50A2"/>
    <w:rsid w:val="001E7332"/>
    <w:rsid w:val="001F0839"/>
    <w:rsid w:val="001F1546"/>
    <w:rsid w:val="001F6AB7"/>
    <w:rsid w:val="001F780C"/>
    <w:rsid w:val="001F7E89"/>
    <w:rsid w:val="00201320"/>
    <w:rsid w:val="00212656"/>
    <w:rsid w:val="00212BC7"/>
    <w:rsid w:val="00213E14"/>
    <w:rsid w:val="00215403"/>
    <w:rsid w:val="00216179"/>
    <w:rsid w:val="00226829"/>
    <w:rsid w:val="00233B9D"/>
    <w:rsid w:val="00233DDA"/>
    <w:rsid w:val="00235A71"/>
    <w:rsid w:val="002413EA"/>
    <w:rsid w:val="00243849"/>
    <w:rsid w:val="002575AA"/>
    <w:rsid w:val="00266EB9"/>
    <w:rsid w:val="002753AD"/>
    <w:rsid w:val="002B2145"/>
    <w:rsid w:val="002D266E"/>
    <w:rsid w:val="002D4121"/>
    <w:rsid w:val="002E1B83"/>
    <w:rsid w:val="002E2635"/>
    <w:rsid w:val="002E7D33"/>
    <w:rsid w:val="002F4E69"/>
    <w:rsid w:val="003045C3"/>
    <w:rsid w:val="00313F6B"/>
    <w:rsid w:val="00322D52"/>
    <w:rsid w:val="00323016"/>
    <w:rsid w:val="003232ED"/>
    <w:rsid w:val="003237E4"/>
    <w:rsid w:val="00323BDD"/>
    <w:rsid w:val="00325C9F"/>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17BC"/>
    <w:rsid w:val="003861D9"/>
    <w:rsid w:val="0038633F"/>
    <w:rsid w:val="00386823"/>
    <w:rsid w:val="00386E96"/>
    <w:rsid w:val="0038795F"/>
    <w:rsid w:val="0038796E"/>
    <w:rsid w:val="0039147E"/>
    <w:rsid w:val="0039347D"/>
    <w:rsid w:val="003947E7"/>
    <w:rsid w:val="00396E63"/>
    <w:rsid w:val="00397073"/>
    <w:rsid w:val="003A4357"/>
    <w:rsid w:val="003B1B35"/>
    <w:rsid w:val="003C0359"/>
    <w:rsid w:val="003C1515"/>
    <w:rsid w:val="003C23AA"/>
    <w:rsid w:val="003D16FB"/>
    <w:rsid w:val="003D6CAD"/>
    <w:rsid w:val="003E2C12"/>
    <w:rsid w:val="003E2DA8"/>
    <w:rsid w:val="003E782D"/>
    <w:rsid w:val="00400098"/>
    <w:rsid w:val="0040360C"/>
    <w:rsid w:val="004108A4"/>
    <w:rsid w:val="00414AE3"/>
    <w:rsid w:val="00415616"/>
    <w:rsid w:val="004207FF"/>
    <w:rsid w:val="00424124"/>
    <w:rsid w:val="00433BCA"/>
    <w:rsid w:val="0043533D"/>
    <w:rsid w:val="00445514"/>
    <w:rsid w:val="00452ED8"/>
    <w:rsid w:val="0045494F"/>
    <w:rsid w:val="004567DF"/>
    <w:rsid w:val="00472630"/>
    <w:rsid w:val="00473883"/>
    <w:rsid w:val="00476D80"/>
    <w:rsid w:val="00480B5C"/>
    <w:rsid w:val="00481C54"/>
    <w:rsid w:val="00482E0D"/>
    <w:rsid w:val="004850B4"/>
    <w:rsid w:val="004854E2"/>
    <w:rsid w:val="004901C2"/>
    <w:rsid w:val="004916FF"/>
    <w:rsid w:val="004957E5"/>
    <w:rsid w:val="0049681F"/>
    <w:rsid w:val="004C21CC"/>
    <w:rsid w:val="004C3FDE"/>
    <w:rsid w:val="004C49B2"/>
    <w:rsid w:val="004D031B"/>
    <w:rsid w:val="004D1C72"/>
    <w:rsid w:val="004D4663"/>
    <w:rsid w:val="004D5EDB"/>
    <w:rsid w:val="004E083B"/>
    <w:rsid w:val="004E1482"/>
    <w:rsid w:val="004E69A4"/>
    <w:rsid w:val="004E6C3D"/>
    <w:rsid w:val="004F00C7"/>
    <w:rsid w:val="004F03AE"/>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71EF"/>
    <w:rsid w:val="005D41DD"/>
    <w:rsid w:val="005F776D"/>
    <w:rsid w:val="006001B9"/>
    <w:rsid w:val="0060359F"/>
    <w:rsid w:val="0061336A"/>
    <w:rsid w:val="006240A5"/>
    <w:rsid w:val="006309DE"/>
    <w:rsid w:val="00632BDC"/>
    <w:rsid w:val="0064390B"/>
    <w:rsid w:val="00656E34"/>
    <w:rsid w:val="00661E54"/>
    <w:rsid w:val="00663C6D"/>
    <w:rsid w:val="006714ED"/>
    <w:rsid w:val="006738B9"/>
    <w:rsid w:val="00674F9C"/>
    <w:rsid w:val="006751D2"/>
    <w:rsid w:val="006770CA"/>
    <w:rsid w:val="0068424D"/>
    <w:rsid w:val="00686C3A"/>
    <w:rsid w:val="00690E9D"/>
    <w:rsid w:val="00697F82"/>
    <w:rsid w:val="006A0598"/>
    <w:rsid w:val="006A66DA"/>
    <w:rsid w:val="006A7394"/>
    <w:rsid w:val="006B2EDA"/>
    <w:rsid w:val="006B59B9"/>
    <w:rsid w:val="006C0EB6"/>
    <w:rsid w:val="006C0F37"/>
    <w:rsid w:val="006D330F"/>
    <w:rsid w:val="006D3EDB"/>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3F62"/>
    <w:rsid w:val="00715755"/>
    <w:rsid w:val="00726C83"/>
    <w:rsid w:val="00731A9A"/>
    <w:rsid w:val="007471C5"/>
    <w:rsid w:val="00750FF8"/>
    <w:rsid w:val="00753FC2"/>
    <w:rsid w:val="00756C38"/>
    <w:rsid w:val="00761673"/>
    <w:rsid w:val="00761893"/>
    <w:rsid w:val="007645D0"/>
    <w:rsid w:val="007653F4"/>
    <w:rsid w:val="00770822"/>
    <w:rsid w:val="00771F97"/>
    <w:rsid w:val="007727F3"/>
    <w:rsid w:val="00781A09"/>
    <w:rsid w:val="007874C8"/>
    <w:rsid w:val="0079428E"/>
    <w:rsid w:val="00794A92"/>
    <w:rsid w:val="00796976"/>
    <w:rsid w:val="00796CC5"/>
    <w:rsid w:val="007A04AC"/>
    <w:rsid w:val="007A4037"/>
    <w:rsid w:val="007B1D8D"/>
    <w:rsid w:val="007B2B58"/>
    <w:rsid w:val="007C352C"/>
    <w:rsid w:val="007D51F2"/>
    <w:rsid w:val="007D6292"/>
    <w:rsid w:val="007D761E"/>
    <w:rsid w:val="007F095B"/>
    <w:rsid w:val="007F26E3"/>
    <w:rsid w:val="007F45E2"/>
    <w:rsid w:val="007F5383"/>
    <w:rsid w:val="007F6AA9"/>
    <w:rsid w:val="008006B4"/>
    <w:rsid w:val="00800827"/>
    <w:rsid w:val="0080610B"/>
    <w:rsid w:val="00810582"/>
    <w:rsid w:val="00813A48"/>
    <w:rsid w:val="008152EF"/>
    <w:rsid w:val="008162F6"/>
    <w:rsid w:val="00817895"/>
    <w:rsid w:val="00817B4A"/>
    <w:rsid w:val="008272C0"/>
    <w:rsid w:val="008323D3"/>
    <w:rsid w:val="008351FF"/>
    <w:rsid w:val="00845F81"/>
    <w:rsid w:val="00862885"/>
    <w:rsid w:val="0087086B"/>
    <w:rsid w:val="00881C2D"/>
    <w:rsid w:val="00894E29"/>
    <w:rsid w:val="0089693D"/>
    <w:rsid w:val="008A1514"/>
    <w:rsid w:val="008B0830"/>
    <w:rsid w:val="008B41E7"/>
    <w:rsid w:val="008B5E29"/>
    <w:rsid w:val="008B77CD"/>
    <w:rsid w:val="008C3178"/>
    <w:rsid w:val="008C68A0"/>
    <w:rsid w:val="008D1243"/>
    <w:rsid w:val="008D3E45"/>
    <w:rsid w:val="008E2D12"/>
    <w:rsid w:val="008F294D"/>
    <w:rsid w:val="009055F3"/>
    <w:rsid w:val="009056A0"/>
    <w:rsid w:val="009066B6"/>
    <w:rsid w:val="00907556"/>
    <w:rsid w:val="00913817"/>
    <w:rsid w:val="00914C5D"/>
    <w:rsid w:val="00925F7F"/>
    <w:rsid w:val="009260B8"/>
    <w:rsid w:val="0092731B"/>
    <w:rsid w:val="009317C0"/>
    <w:rsid w:val="00933735"/>
    <w:rsid w:val="0093429C"/>
    <w:rsid w:val="009352F4"/>
    <w:rsid w:val="00940E1D"/>
    <w:rsid w:val="00945344"/>
    <w:rsid w:val="009510CB"/>
    <w:rsid w:val="00952960"/>
    <w:rsid w:val="00954FB8"/>
    <w:rsid w:val="00956BA0"/>
    <w:rsid w:val="009707C4"/>
    <w:rsid w:val="00970A93"/>
    <w:rsid w:val="00970B01"/>
    <w:rsid w:val="00971962"/>
    <w:rsid w:val="00971CC5"/>
    <w:rsid w:val="00980AEA"/>
    <w:rsid w:val="00991002"/>
    <w:rsid w:val="00994EA3"/>
    <w:rsid w:val="009966C9"/>
    <w:rsid w:val="00996B8D"/>
    <w:rsid w:val="009A38DE"/>
    <w:rsid w:val="009B06B5"/>
    <w:rsid w:val="009B69BE"/>
    <w:rsid w:val="009C197A"/>
    <w:rsid w:val="009C74C8"/>
    <w:rsid w:val="009E5BC1"/>
    <w:rsid w:val="009F0852"/>
    <w:rsid w:val="009F128B"/>
    <w:rsid w:val="009F12A5"/>
    <w:rsid w:val="009F5FB4"/>
    <w:rsid w:val="00A00BD5"/>
    <w:rsid w:val="00A021B5"/>
    <w:rsid w:val="00A02E6B"/>
    <w:rsid w:val="00A03055"/>
    <w:rsid w:val="00A046E7"/>
    <w:rsid w:val="00A04B00"/>
    <w:rsid w:val="00A1157F"/>
    <w:rsid w:val="00A11931"/>
    <w:rsid w:val="00A171EA"/>
    <w:rsid w:val="00A22177"/>
    <w:rsid w:val="00A236A4"/>
    <w:rsid w:val="00A27281"/>
    <w:rsid w:val="00A35081"/>
    <w:rsid w:val="00A36F1C"/>
    <w:rsid w:val="00A433A6"/>
    <w:rsid w:val="00A43E7A"/>
    <w:rsid w:val="00A46ED3"/>
    <w:rsid w:val="00A504E1"/>
    <w:rsid w:val="00A528A2"/>
    <w:rsid w:val="00A609F0"/>
    <w:rsid w:val="00A666EC"/>
    <w:rsid w:val="00A74EDE"/>
    <w:rsid w:val="00A779FE"/>
    <w:rsid w:val="00A77B07"/>
    <w:rsid w:val="00A81157"/>
    <w:rsid w:val="00A84E04"/>
    <w:rsid w:val="00A85E8A"/>
    <w:rsid w:val="00A92074"/>
    <w:rsid w:val="00A94ED6"/>
    <w:rsid w:val="00A97B08"/>
    <w:rsid w:val="00AA04CC"/>
    <w:rsid w:val="00AA5256"/>
    <w:rsid w:val="00AA7F22"/>
    <w:rsid w:val="00AB7F58"/>
    <w:rsid w:val="00AC0D0C"/>
    <w:rsid w:val="00AC4530"/>
    <w:rsid w:val="00AC7E0D"/>
    <w:rsid w:val="00AD1660"/>
    <w:rsid w:val="00AD1E4D"/>
    <w:rsid w:val="00AD3C4A"/>
    <w:rsid w:val="00AE1D8D"/>
    <w:rsid w:val="00AE4633"/>
    <w:rsid w:val="00AE6A5B"/>
    <w:rsid w:val="00AF0B6B"/>
    <w:rsid w:val="00AF412E"/>
    <w:rsid w:val="00AF5261"/>
    <w:rsid w:val="00AF6A9F"/>
    <w:rsid w:val="00AF7BB3"/>
    <w:rsid w:val="00B00363"/>
    <w:rsid w:val="00B02071"/>
    <w:rsid w:val="00B063F9"/>
    <w:rsid w:val="00B06D60"/>
    <w:rsid w:val="00B112A1"/>
    <w:rsid w:val="00B1406D"/>
    <w:rsid w:val="00B14398"/>
    <w:rsid w:val="00B14400"/>
    <w:rsid w:val="00B14E3C"/>
    <w:rsid w:val="00B17EC0"/>
    <w:rsid w:val="00B200AF"/>
    <w:rsid w:val="00B27B8B"/>
    <w:rsid w:val="00B33EE6"/>
    <w:rsid w:val="00B46840"/>
    <w:rsid w:val="00B503CB"/>
    <w:rsid w:val="00B50F8D"/>
    <w:rsid w:val="00B55A6D"/>
    <w:rsid w:val="00B60EC5"/>
    <w:rsid w:val="00B644B9"/>
    <w:rsid w:val="00B73301"/>
    <w:rsid w:val="00B7349E"/>
    <w:rsid w:val="00B738A7"/>
    <w:rsid w:val="00B7586A"/>
    <w:rsid w:val="00B766F9"/>
    <w:rsid w:val="00B805A5"/>
    <w:rsid w:val="00B82A2B"/>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3544"/>
    <w:rsid w:val="00BE595A"/>
    <w:rsid w:val="00BE5F29"/>
    <w:rsid w:val="00BE783C"/>
    <w:rsid w:val="00C00D44"/>
    <w:rsid w:val="00C03AF5"/>
    <w:rsid w:val="00C04FCE"/>
    <w:rsid w:val="00C06609"/>
    <w:rsid w:val="00C067C5"/>
    <w:rsid w:val="00C0772E"/>
    <w:rsid w:val="00C10DC7"/>
    <w:rsid w:val="00C147B2"/>
    <w:rsid w:val="00C14D56"/>
    <w:rsid w:val="00C171B6"/>
    <w:rsid w:val="00C2011B"/>
    <w:rsid w:val="00C2062A"/>
    <w:rsid w:val="00C30183"/>
    <w:rsid w:val="00C316FC"/>
    <w:rsid w:val="00C3644F"/>
    <w:rsid w:val="00C36666"/>
    <w:rsid w:val="00C43AAC"/>
    <w:rsid w:val="00C460D8"/>
    <w:rsid w:val="00C61B8C"/>
    <w:rsid w:val="00C65F38"/>
    <w:rsid w:val="00C712DE"/>
    <w:rsid w:val="00C836E5"/>
    <w:rsid w:val="00C83C65"/>
    <w:rsid w:val="00C840D0"/>
    <w:rsid w:val="00C867B9"/>
    <w:rsid w:val="00CA3B1B"/>
    <w:rsid w:val="00CB23E3"/>
    <w:rsid w:val="00CB759D"/>
    <w:rsid w:val="00CB7AAE"/>
    <w:rsid w:val="00CC0A41"/>
    <w:rsid w:val="00CC3BA0"/>
    <w:rsid w:val="00CC48C9"/>
    <w:rsid w:val="00CD765A"/>
    <w:rsid w:val="00CE49A1"/>
    <w:rsid w:val="00CF36D7"/>
    <w:rsid w:val="00CF4B97"/>
    <w:rsid w:val="00CF759C"/>
    <w:rsid w:val="00D00216"/>
    <w:rsid w:val="00D011CD"/>
    <w:rsid w:val="00D05BF4"/>
    <w:rsid w:val="00D06577"/>
    <w:rsid w:val="00D14A9D"/>
    <w:rsid w:val="00D17A30"/>
    <w:rsid w:val="00D225CC"/>
    <w:rsid w:val="00D22682"/>
    <w:rsid w:val="00D240C3"/>
    <w:rsid w:val="00D2786B"/>
    <w:rsid w:val="00D3113D"/>
    <w:rsid w:val="00D32849"/>
    <w:rsid w:val="00D33DD9"/>
    <w:rsid w:val="00D33E9D"/>
    <w:rsid w:val="00D434A7"/>
    <w:rsid w:val="00D46724"/>
    <w:rsid w:val="00D517A4"/>
    <w:rsid w:val="00D51C7E"/>
    <w:rsid w:val="00D549F4"/>
    <w:rsid w:val="00D64101"/>
    <w:rsid w:val="00D66404"/>
    <w:rsid w:val="00D8773C"/>
    <w:rsid w:val="00D93082"/>
    <w:rsid w:val="00D97139"/>
    <w:rsid w:val="00DA0ABA"/>
    <w:rsid w:val="00DA28BE"/>
    <w:rsid w:val="00DC0253"/>
    <w:rsid w:val="00DC4F70"/>
    <w:rsid w:val="00DC753D"/>
    <w:rsid w:val="00DD0CD4"/>
    <w:rsid w:val="00DE10E1"/>
    <w:rsid w:val="00DF04F0"/>
    <w:rsid w:val="00E1108E"/>
    <w:rsid w:val="00E147D3"/>
    <w:rsid w:val="00E1782A"/>
    <w:rsid w:val="00E17CCF"/>
    <w:rsid w:val="00E21BC3"/>
    <w:rsid w:val="00E23A94"/>
    <w:rsid w:val="00E30BB5"/>
    <w:rsid w:val="00E31447"/>
    <w:rsid w:val="00E422A2"/>
    <w:rsid w:val="00E44018"/>
    <w:rsid w:val="00E5220B"/>
    <w:rsid w:val="00E6172B"/>
    <w:rsid w:val="00E655A5"/>
    <w:rsid w:val="00E66A55"/>
    <w:rsid w:val="00E713DA"/>
    <w:rsid w:val="00E813B7"/>
    <w:rsid w:val="00E82874"/>
    <w:rsid w:val="00E845AC"/>
    <w:rsid w:val="00E867FC"/>
    <w:rsid w:val="00E9047D"/>
    <w:rsid w:val="00EA0ACE"/>
    <w:rsid w:val="00EA26BE"/>
    <w:rsid w:val="00EA399C"/>
    <w:rsid w:val="00EB4C19"/>
    <w:rsid w:val="00EC1215"/>
    <w:rsid w:val="00EC7EB7"/>
    <w:rsid w:val="00ED5FA0"/>
    <w:rsid w:val="00EE0A07"/>
    <w:rsid w:val="00EE6E92"/>
    <w:rsid w:val="00EF03C9"/>
    <w:rsid w:val="00EF0A8C"/>
    <w:rsid w:val="00EF673B"/>
    <w:rsid w:val="00EF6A28"/>
    <w:rsid w:val="00EF6FBF"/>
    <w:rsid w:val="00F014D9"/>
    <w:rsid w:val="00F05BF1"/>
    <w:rsid w:val="00F07EE2"/>
    <w:rsid w:val="00F1778E"/>
    <w:rsid w:val="00F17A90"/>
    <w:rsid w:val="00F21B33"/>
    <w:rsid w:val="00F233FF"/>
    <w:rsid w:val="00F27C45"/>
    <w:rsid w:val="00F308D4"/>
    <w:rsid w:val="00F33539"/>
    <w:rsid w:val="00F33C45"/>
    <w:rsid w:val="00F441AA"/>
    <w:rsid w:val="00F46873"/>
    <w:rsid w:val="00F4786D"/>
    <w:rsid w:val="00F504CC"/>
    <w:rsid w:val="00F50E8B"/>
    <w:rsid w:val="00F60220"/>
    <w:rsid w:val="00F77C8A"/>
    <w:rsid w:val="00F86AAA"/>
    <w:rsid w:val="00F9055E"/>
    <w:rsid w:val="00F91683"/>
    <w:rsid w:val="00F92C46"/>
    <w:rsid w:val="00FA00C3"/>
    <w:rsid w:val="00FA17FC"/>
    <w:rsid w:val="00FA2040"/>
    <w:rsid w:val="00FB17AC"/>
    <w:rsid w:val="00FB41D6"/>
    <w:rsid w:val="00FC5CC0"/>
    <w:rsid w:val="00FC622D"/>
    <w:rsid w:val="00FD7C42"/>
    <w:rsid w:val="00FE4D9A"/>
    <w:rsid w:val="00FE4E4B"/>
    <w:rsid w:val="00FE62A5"/>
    <w:rsid w:val="00FE6A9C"/>
    <w:rsid w:val="00FE6CB8"/>
    <w:rsid w:val="00FF1872"/>
    <w:rsid w:val="00FF45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656E34"/>
    <w:pPr>
      <w:spacing w:before="0" w:after="0"/>
    </w:pPr>
  </w:style>
  <w:style w:type="paragraph" w:customStyle="1" w:styleId="DefinitionList">
    <w:name w:val="Definition List"/>
    <w:basedOn w:val="Normal"/>
    <w:next w:val="DefinitionTerm"/>
    <w:rsid w:val="00656E34"/>
    <w:pPr>
      <w:spacing w:before="0" w:after="0"/>
      <w:ind w:left="360"/>
    </w:pPr>
  </w:style>
  <w:style w:type="character" w:customStyle="1" w:styleId="Definition">
    <w:name w:val="Definition"/>
    <w:rsid w:val="00656E34"/>
    <w:rPr>
      <w:i/>
    </w:rPr>
  </w:style>
  <w:style w:type="paragraph" w:customStyle="1" w:styleId="H1">
    <w:name w:val="H1"/>
    <w:basedOn w:val="Normal"/>
    <w:next w:val="Normal"/>
    <w:rsid w:val="00656E34"/>
    <w:pPr>
      <w:keepNext/>
      <w:outlineLvl w:val="1"/>
    </w:pPr>
    <w:rPr>
      <w:b/>
      <w:kern w:val="36"/>
      <w:sz w:val="48"/>
    </w:rPr>
  </w:style>
  <w:style w:type="paragraph" w:customStyle="1" w:styleId="H2">
    <w:name w:val="H2"/>
    <w:basedOn w:val="Normal"/>
    <w:next w:val="Normal"/>
    <w:rsid w:val="00656E34"/>
    <w:pPr>
      <w:keepNext/>
      <w:outlineLvl w:val="2"/>
    </w:pPr>
    <w:rPr>
      <w:b/>
      <w:sz w:val="36"/>
    </w:rPr>
  </w:style>
  <w:style w:type="paragraph" w:customStyle="1" w:styleId="H3">
    <w:name w:val="H3"/>
    <w:basedOn w:val="Normal"/>
    <w:next w:val="Normal"/>
    <w:rsid w:val="00656E34"/>
    <w:pPr>
      <w:keepNext/>
      <w:outlineLvl w:val="3"/>
    </w:pPr>
    <w:rPr>
      <w:b/>
      <w:sz w:val="28"/>
    </w:rPr>
  </w:style>
  <w:style w:type="paragraph" w:customStyle="1" w:styleId="H4">
    <w:name w:val="H4"/>
    <w:basedOn w:val="Normal"/>
    <w:next w:val="Normal"/>
    <w:rsid w:val="00656E34"/>
    <w:pPr>
      <w:keepNext/>
      <w:outlineLvl w:val="4"/>
    </w:pPr>
    <w:rPr>
      <w:b/>
    </w:rPr>
  </w:style>
  <w:style w:type="paragraph" w:customStyle="1" w:styleId="H5">
    <w:name w:val="H5"/>
    <w:basedOn w:val="Normal"/>
    <w:next w:val="Normal"/>
    <w:rsid w:val="00656E34"/>
    <w:pPr>
      <w:keepNext/>
      <w:outlineLvl w:val="5"/>
    </w:pPr>
    <w:rPr>
      <w:b/>
      <w:sz w:val="20"/>
    </w:rPr>
  </w:style>
  <w:style w:type="paragraph" w:customStyle="1" w:styleId="H6">
    <w:name w:val="H6"/>
    <w:basedOn w:val="Normal"/>
    <w:next w:val="Normal"/>
    <w:rsid w:val="00656E34"/>
    <w:pPr>
      <w:keepNext/>
      <w:outlineLvl w:val="6"/>
    </w:pPr>
    <w:rPr>
      <w:b/>
      <w:sz w:val="16"/>
    </w:rPr>
  </w:style>
  <w:style w:type="paragraph" w:customStyle="1" w:styleId="Address">
    <w:name w:val="Address"/>
    <w:basedOn w:val="Normal"/>
    <w:next w:val="Normal"/>
    <w:rsid w:val="00656E34"/>
    <w:pPr>
      <w:spacing w:before="0" w:after="0"/>
    </w:pPr>
    <w:rPr>
      <w:i/>
    </w:rPr>
  </w:style>
  <w:style w:type="paragraph" w:customStyle="1" w:styleId="Blockquote">
    <w:name w:val="Blockquote"/>
    <w:basedOn w:val="Normal"/>
    <w:rsid w:val="00656E34"/>
    <w:pPr>
      <w:ind w:left="360" w:right="360"/>
    </w:pPr>
  </w:style>
  <w:style w:type="character" w:customStyle="1" w:styleId="CITE">
    <w:name w:val="CITE"/>
    <w:rsid w:val="00656E34"/>
    <w:rPr>
      <w:i/>
    </w:rPr>
  </w:style>
  <w:style w:type="character" w:customStyle="1" w:styleId="CODE">
    <w:name w:val="CODE"/>
    <w:rsid w:val="00656E34"/>
    <w:rPr>
      <w:rFonts w:ascii="Courier New" w:hAnsi="Courier New"/>
      <w:sz w:val="20"/>
    </w:rPr>
  </w:style>
  <w:style w:type="character" w:styleId="Emphasis">
    <w:name w:val="Emphasis"/>
    <w:uiPriority w:val="20"/>
    <w:qFormat/>
    <w:rsid w:val="00656E34"/>
    <w:rPr>
      <w:i/>
    </w:rPr>
  </w:style>
  <w:style w:type="character" w:styleId="Hyperlink">
    <w:name w:val="Hyperlink"/>
    <w:rsid w:val="00656E34"/>
    <w:rPr>
      <w:color w:val="0000FF"/>
      <w:u w:val="single"/>
    </w:rPr>
  </w:style>
  <w:style w:type="character" w:styleId="FollowedHyperlink">
    <w:name w:val="FollowedHyperlink"/>
    <w:rsid w:val="00656E34"/>
    <w:rPr>
      <w:color w:val="800080"/>
      <w:u w:val="single"/>
    </w:rPr>
  </w:style>
  <w:style w:type="character" w:customStyle="1" w:styleId="Keyboard">
    <w:name w:val="Keyboard"/>
    <w:rsid w:val="00656E34"/>
    <w:rPr>
      <w:rFonts w:ascii="Courier New" w:hAnsi="Courier New"/>
      <w:b/>
      <w:sz w:val="20"/>
    </w:rPr>
  </w:style>
  <w:style w:type="paragraph" w:customStyle="1" w:styleId="Preformatted">
    <w:name w:val="Preformatted"/>
    <w:basedOn w:val="Normal"/>
    <w:rsid w:val="00656E3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656E34"/>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656E34"/>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656E34"/>
    <w:rPr>
      <w:rFonts w:ascii="Courier New" w:hAnsi="Courier New"/>
    </w:rPr>
  </w:style>
  <w:style w:type="character" w:styleId="Strong">
    <w:name w:val="Strong"/>
    <w:uiPriority w:val="22"/>
    <w:qFormat/>
    <w:rsid w:val="00656E34"/>
    <w:rPr>
      <w:b/>
    </w:rPr>
  </w:style>
  <w:style w:type="character" w:customStyle="1" w:styleId="Typewriter">
    <w:name w:val="Typewriter"/>
    <w:rsid w:val="00656E34"/>
    <w:rPr>
      <w:rFonts w:ascii="Courier New" w:hAnsi="Courier New"/>
      <w:sz w:val="20"/>
    </w:rPr>
  </w:style>
  <w:style w:type="character" w:customStyle="1" w:styleId="Variable">
    <w:name w:val="Variable"/>
    <w:rsid w:val="00656E34"/>
    <w:rPr>
      <w:i/>
    </w:rPr>
  </w:style>
  <w:style w:type="character" w:customStyle="1" w:styleId="HTMLMarkup">
    <w:name w:val="HTML Markup"/>
    <w:rsid w:val="00656E34"/>
    <w:rPr>
      <w:vanish/>
      <w:color w:val="FF0000"/>
    </w:rPr>
  </w:style>
  <w:style w:type="character" w:customStyle="1" w:styleId="Comment">
    <w:name w:val="Comment"/>
    <w:rsid w:val="00656E34"/>
    <w:rPr>
      <w:vanish/>
    </w:rPr>
  </w:style>
  <w:style w:type="paragraph" w:styleId="DocumentMap">
    <w:name w:val="Document Map"/>
    <w:basedOn w:val="Normal"/>
    <w:semiHidden/>
    <w:rsid w:val="00656E34"/>
    <w:pPr>
      <w:shd w:val="clear" w:color="auto" w:fill="000080"/>
    </w:pPr>
    <w:rPr>
      <w:rFonts w:ascii="Tahoma" w:hAnsi="Tahoma"/>
    </w:rPr>
  </w:style>
  <w:style w:type="paragraph" w:styleId="Header">
    <w:name w:val="header"/>
    <w:basedOn w:val="Normal"/>
    <w:rsid w:val="00656E34"/>
    <w:pPr>
      <w:tabs>
        <w:tab w:val="center" w:pos="4320"/>
        <w:tab w:val="right" w:pos="8640"/>
      </w:tabs>
    </w:pPr>
  </w:style>
  <w:style w:type="paragraph" w:styleId="Footer">
    <w:name w:val="footer"/>
    <w:basedOn w:val="Normal"/>
    <w:link w:val="FooterChar"/>
    <w:rsid w:val="00656E34"/>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lang w:val="en-GB" w:eastAsia="en-GB"/>
    </w:rPr>
  </w:style>
  <w:style w:type="paragraph" w:styleId="NormalWeb">
    <w:name w:val="Normal (Web)"/>
    <w:basedOn w:val="Normal"/>
    <w:uiPriority w:val="99"/>
    <w:unhideWhenUsed/>
    <w:rsid w:val="00CF4B97"/>
    <w:pPr>
      <w:widowControl/>
      <w:spacing w:beforeAutospacing="1" w:afterAutospacing="1"/>
    </w:pPr>
    <w:rPr>
      <w:snapToGrid/>
      <w:szCs w:val="24"/>
      <w:lang w:val="mk-MK" w:eastAsia="mk-MK"/>
    </w:rPr>
  </w:style>
  <w:style w:type="paragraph" w:customStyle="1" w:styleId="isselectedend">
    <w:name w:val="isselectedend"/>
    <w:basedOn w:val="Normal"/>
    <w:rsid w:val="00DE10E1"/>
    <w:pPr>
      <w:widowControl/>
      <w:spacing w:beforeAutospacing="1" w:afterAutospacing="1"/>
    </w:pPr>
    <w:rPr>
      <w:snapToGrid/>
      <w:szCs w:val="24"/>
      <w:lang w:val="mk-MK" w:eastAsia="mk-MK"/>
    </w:rPr>
  </w:style>
</w:styles>
</file>

<file path=word/webSettings.xml><?xml version="1.0" encoding="utf-8"?>
<w:webSettings xmlns:r="http://schemas.openxmlformats.org/officeDocument/2006/relationships" xmlns:w="http://schemas.openxmlformats.org/wordprocessingml/2006/main">
  <w:divs>
    <w:div w:id="141506074">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962006377">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14793113">
      <w:bodyDiv w:val="1"/>
      <w:marLeft w:val="0"/>
      <w:marRight w:val="0"/>
      <w:marTop w:val="0"/>
      <w:marBottom w:val="0"/>
      <w:divBdr>
        <w:top w:val="none" w:sz="0" w:space="0" w:color="auto"/>
        <w:left w:val="none" w:sz="0" w:space="0" w:color="auto"/>
        <w:bottom w:val="none" w:sz="0" w:space="0" w:color="auto"/>
        <w:right w:val="none" w:sz="0" w:space="0" w:color="auto"/>
      </w:divBdr>
    </w:div>
    <w:div w:id="1680934266">
      <w:bodyDiv w:val="1"/>
      <w:marLeft w:val="0"/>
      <w:marRight w:val="0"/>
      <w:marTop w:val="0"/>
      <w:marBottom w:val="0"/>
      <w:divBdr>
        <w:top w:val="none" w:sz="0" w:space="0" w:color="auto"/>
        <w:left w:val="none" w:sz="0" w:space="0" w:color="auto"/>
        <w:bottom w:val="none" w:sz="0" w:space="0" w:color="auto"/>
        <w:right w:val="none" w:sz="0" w:space="0" w:color="auto"/>
      </w:divBdr>
    </w:div>
    <w:div w:id="1875724726">
      <w:bodyDiv w:val="1"/>
      <w:marLeft w:val="0"/>
      <w:marRight w:val="0"/>
      <w:marTop w:val="0"/>
      <w:marBottom w:val="0"/>
      <w:divBdr>
        <w:top w:val="none" w:sz="0" w:space="0" w:color="auto"/>
        <w:left w:val="none" w:sz="0" w:space="0" w:color="auto"/>
        <w:bottom w:val="none" w:sz="0" w:space="0" w:color="auto"/>
        <w:right w:val="none" w:sz="0" w:space="0" w:color="auto"/>
      </w:divBdr>
    </w:div>
    <w:div w:id="20472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7</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12214</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35</cp:revision>
  <cp:lastPrinted>2024-06-13T12:17:00Z</cp:lastPrinted>
  <dcterms:created xsi:type="dcterms:W3CDTF">2024-07-11T08:17:00Z</dcterms:created>
  <dcterms:modified xsi:type="dcterms:W3CDTF">2026-06-11T07:13:00Z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