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rsidR="00A13EB8" w:rsidRPr="00462E5C" w:rsidRDefault="00A13EB8" w:rsidP="00B5440B">
      <w:pPr>
        <w:spacing w:before="0"/>
        <w:jc w:val="both"/>
        <w:rPr>
          <w:rFonts w:ascii="Times New Roman" w:hAnsi="Times New Roman"/>
          <w:sz w:val="22"/>
        </w:rPr>
      </w:pPr>
      <w:r w:rsidRPr="00462E5C">
        <w:rPr>
          <w:rFonts w:ascii="Times New Roman" w:hAnsi="Times New Roman"/>
          <w:sz w:val="22"/>
        </w:rPr>
        <w:t xml:space="preserve">the supply, delivery, unloading, commissioning, </w:t>
      </w:r>
    </w:p>
    <w:p w:rsidR="00A13EB8" w:rsidRDefault="00A13EB8" w:rsidP="00B5440B">
      <w:pPr>
        <w:spacing w:before="0"/>
        <w:jc w:val="both"/>
        <w:rPr>
          <w:rFonts w:ascii="Times New Roman" w:hAnsi="Times New Roman"/>
          <w:sz w:val="22"/>
        </w:rPr>
      </w:pPr>
      <w:r w:rsidRPr="00462E5C">
        <w:rPr>
          <w:rFonts w:ascii="Times New Roman" w:hAnsi="Times New Roman"/>
          <w:sz w:val="22"/>
        </w:rPr>
        <w:t>of the following supplies:</w:t>
      </w:r>
    </w:p>
    <w:p w:rsidR="00672AC4" w:rsidRPr="003C7ED0" w:rsidRDefault="00672AC4" w:rsidP="00672AC4">
      <w:pPr>
        <w:spacing w:before="0"/>
        <w:jc w:val="both"/>
        <w:rPr>
          <w:rFonts w:ascii="Times New Roman" w:hAnsi="Times New Roman"/>
          <w:b/>
          <w:bCs/>
          <w:sz w:val="22"/>
          <w:u w:val="single"/>
        </w:rPr>
      </w:pPr>
      <w:bookmarkStart w:id="3" w:name="_Hlk227665178"/>
      <w:r w:rsidRPr="003C7ED0">
        <w:rPr>
          <w:rFonts w:ascii="Times New Roman" w:hAnsi="Times New Roman"/>
          <w:b/>
          <w:bCs/>
          <w:sz w:val="22"/>
          <w:u w:val="single"/>
        </w:rPr>
        <w:t xml:space="preserve">Supply of </w:t>
      </w:r>
      <w:r>
        <w:rPr>
          <w:rFonts w:ascii="Times New Roman" w:hAnsi="Times New Roman"/>
          <w:b/>
          <w:bCs/>
          <w:sz w:val="22"/>
          <w:u w:val="single"/>
        </w:rPr>
        <w:t xml:space="preserve">Personal computers </w:t>
      </w:r>
      <w:bookmarkEnd w:id="3"/>
      <w:r>
        <w:rPr>
          <w:rFonts w:ascii="Times New Roman" w:hAnsi="Times New Roman"/>
          <w:b/>
          <w:bCs/>
          <w:sz w:val="22"/>
          <w:u w:val="single"/>
        </w:rPr>
        <w:t>for mobile unit</w:t>
      </w:r>
    </w:p>
    <w:p w:rsidR="00672AC4" w:rsidRDefault="00672AC4" w:rsidP="00672AC4">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 and commissioning,</w:t>
      </w:r>
    </w:p>
    <w:p w:rsidR="00672AC4" w:rsidRDefault="00672AC4" w:rsidP="00672AC4">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672AC4" w:rsidRPr="008749E6" w:rsidRDefault="00672AC4" w:rsidP="00672AC4">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 xml:space="preserve">Personal computers (8)  - Laptops </w:t>
      </w:r>
    </w:p>
    <w:p w:rsidR="00672AC4" w:rsidRPr="008749E6" w:rsidRDefault="00672AC4" w:rsidP="00672AC4">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r>
        <w:rPr>
          <w:rFonts w:ascii="Times New Roman" w:hAnsi="Times New Roman"/>
          <w:color w:val="1D2228"/>
          <w:sz w:val="22"/>
          <w:szCs w:val="22"/>
          <w:shd w:val="clear" w:color="auto" w:fill="FFFFFF"/>
          <w:lang w:val="en-US"/>
        </w:rPr>
        <w:t>(or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r>
        <w:rPr>
          <w:rFonts w:ascii="Times New Roman" w:hAnsi="Times New Roman"/>
          <w:color w:val="1D2228"/>
          <w:sz w:val="22"/>
          <w:szCs w:val="22"/>
          <w:shd w:val="clear" w:color="auto" w:fill="FFFFFF"/>
          <w:lang w:val="en-US"/>
        </w:rPr>
        <w:t>(or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342475" w:rsidRPr="00342475" w:rsidRDefault="00672AC4" w:rsidP="00672AC4">
      <w:pPr>
        <w:numPr>
          <w:ilvl w:val="0"/>
          <w:numId w:val="36"/>
        </w:numPr>
        <w:spacing w:before="0"/>
        <w:jc w:val="both"/>
        <w:rPr>
          <w:rFonts w:ascii="Times New Roman" w:hAnsi="Times New Roman"/>
          <w:bCs/>
          <w:sz w:val="22"/>
          <w:szCs w:val="22"/>
        </w:rPr>
      </w:pPr>
      <w:r w:rsidRPr="008749E6">
        <w:rPr>
          <w:rFonts w:ascii="Times New Roman" w:hAnsi="Times New Roman"/>
          <w:color w:val="1D2228"/>
          <w:sz w:val="22"/>
          <w:szCs w:val="22"/>
          <w:shd w:val="clear" w:color="auto" w:fill="FFFFFF"/>
          <w:lang w:val="en-US"/>
        </w:rPr>
        <w:t>Charger: 90W</w:t>
      </w:r>
    </w:p>
    <w:p w:rsidR="00342475" w:rsidRDefault="00342475" w:rsidP="00B5440B">
      <w:pPr>
        <w:spacing w:before="0"/>
        <w:jc w:val="both"/>
        <w:rPr>
          <w:rFonts w:ascii="Times New Roman" w:hAnsi="Times New Roman"/>
          <w:sz w:val="22"/>
        </w:rPr>
      </w:pPr>
    </w:p>
    <w:p w:rsidR="00C05EBE" w:rsidRPr="00C05EBE" w:rsidRDefault="00C05EBE" w:rsidP="00B5440B">
      <w:pPr>
        <w:spacing w:before="240"/>
        <w:outlineLvl w:val="0"/>
        <w:rPr>
          <w:rFonts w:ascii="Times New Roman" w:hAnsi="Times New Roman"/>
          <w:b/>
          <w:sz w:val="24"/>
          <w:szCs w:val="24"/>
        </w:rPr>
      </w:pPr>
      <w:bookmarkStart w:id="4" w:name="_Hlk132980677"/>
      <w:r w:rsidRPr="00C05EBE">
        <w:rPr>
          <w:rFonts w:ascii="Times New Roman" w:hAnsi="Times New Roman"/>
          <w:b/>
          <w:sz w:val="24"/>
          <w:szCs w:val="24"/>
        </w:rPr>
        <w:t>Order of precedence of contract documents</w:t>
      </w:r>
    </w:p>
    <w:bookmarkEnd w:id="4"/>
    <w:p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offer (Annex III [</w:t>
      </w:r>
      <w:r>
        <w:rPr>
          <w:rFonts w:ascii="Times New Roman" w:hAnsi="Times New Roman"/>
          <w:sz w:val="22"/>
          <w:highlight w:val="lightGray"/>
        </w:rPr>
        <w:t>including clarifications from the tenderer provided during tender evaluation]);</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sidRPr="00462E5C">
        <w:rPr>
          <w:rFonts w:ascii="Times New Roman" w:hAnsi="Times New Roman"/>
          <w:sz w:val="22"/>
        </w:rPr>
        <w:t>specified forms and other relevant documents (Annex V)</w:t>
      </w:r>
      <w:r w:rsidRPr="00C05EBE">
        <w:rPr>
          <w:rFonts w:ascii="Times New Roman" w:hAnsi="Times New Roman"/>
          <w:sz w:val="22"/>
        </w:rPr>
        <w:t>;</w:t>
      </w:r>
    </w:p>
    <w:p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lastRenderedPageBreak/>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p>
    <w:p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rsidR="0047783A" w:rsidRPr="003D6B6C" w:rsidRDefault="0047783A" w:rsidP="00B34179">
      <w:pPr>
        <w:spacing w:before="240"/>
        <w:ind w:left="1134" w:hanging="1134"/>
        <w:jc w:val="both"/>
        <w:rPr>
          <w:rFonts w:ascii="Times New Roman" w:hAnsi="Times New Roman"/>
          <w:b/>
          <w:sz w:val="24"/>
          <w:szCs w:val="24"/>
        </w:rPr>
      </w:pPr>
      <w:bookmarkStart w:id="5"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5"/>
    </w:p>
    <w:p w:rsidR="003F3783" w:rsidRPr="003F3783" w:rsidRDefault="003F3783" w:rsidP="00B5440B">
      <w:pPr>
        <w:spacing w:before="0"/>
        <w:ind w:left="1134" w:hanging="567"/>
        <w:jc w:val="both"/>
        <w:rPr>
          <w:rFonts w:ascii="Times New Roman" w:hAnsi="Times New Roman"/>
          <w:b/>
          <w:bCs/>
          <w:sz w:val="22"/>
          <w:szCs w:val="22"/>
        </w:rPr>
      </w:pPr>
      <w:bookmarkStart w:id="6" w:name="_Hlk133420420"/>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name]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official address]  </w:t>
      </w:r>
    </w:p>
    <w:p w:rsidR="003F3783" w:rsidRPr="003F3783" w:rsidRDefault="003F3783" w:rsidP="00B5440B">
      <w:pPr>
        <w:spacing w:before="0" w:after="240"/>
        <w:ind w:left="1196"/>
        <w:textAlignment w:val="baseline"/>
        <w:rPr>
          <w:rFonts w:ascii="Times New Roman" w:hAnsi="Times New Roman"/>
          <w:snapToGrid/>
          <w:sz w:val="22"/>
          <w:szCs w:val="22"/>
          <w:lang w:val="en-IE" w:eastAsia="fr-BE"/>
        </w:rPr>
      </w:pPr>
      <w:r>
        <w:rPr>
          <w:rFonts w:ascii="Times New Roman" w:hAnsi="Times New Roman"/>
          <w:snapToGrid/>
          <w:sz w:val="22"/>
          <w:szCs w:val="22"/>
          <w:highlight w:val="lightGray"/>
          <w:lang w:val="en-IE" w:eastAsia="fr-BE"/>
        </w:rPr>
        <w:t>[Email: [complete]] </w:t>
      </w:r>
      <w:r w:rsidR="002F3C0E" w:rsidRPr="00B5440B">
        <w:rPr>
          <w:rFonts w:ascii="Times New Roman" w:hAnsi="Times New Roman"/>
          <w:snapToGrid/>
          <w:sz w:val="22"/>
          <w:szCs w:val="22"/>
          <w:highlight w:val="yellow"/>
          <w:lang w:val="en-IE" w:eastAsia="fr-BE"/>
        </w:rPr>
        <w:t>]</w:t>
      </w:r>
    </w:p>
    <w:p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6"/>
    <w:p w:rsidR="0047783A" w:rsidRPr="003D6B6C" w:rsidRDefault="0047783A" w:rsidP="004F7A0E">
      <w:pPr>
        <w:widowControl w:val="0"/>
        <w:ind w:left="1134" w:hanging="567"/>
        <w:jc w:val="both"/>
        <w:rPr>
          <w:rFonts w:ascii="Times New Roman" w:hAnsi="Times New Roman"/>
          <w:sz w:val="22"/>
          <w:szCs w:val="22"/>
        </w:rPr>
      </w:pPr>
    </w:p>
    <w:p w:rsidR="0047783A" w:rsidRPr="003D6B6C" w:rsidRDefault="0047783A" w:rsidP="00B5440B">
      <w:pPr>
        <w:keepNext/>
        <w:spacing w:before="240"/>
        <w:ind w:left="1134" w:hanging="1134"/>
        <w:jc w:val="both"/>
        <w:rPr>
          <w:rFonts w:ascii="Times New Roman" w:hAnsi="Times New Roman"/>
          <w:b/>
          <w:sz w:val="24"/>
          <w:szCs w:val="24"/>
        </w:rPr>
      </w:pPr>
      <w:bookmarkStart w:id="7"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7"/>
    </w:p>
    <w:p w:rsidR="0047783A" w:rsidRPr="003D6B6C" w:rsidRDefault="00B368DE" w:rsidP="00B34179">
      <w:pPr>
        <w:jc w:val="both"/>
        <w:rPr>
          <w:rFonts w:ascii="Times New Roman" w:hAnsi="Times New Roman"/>
          <w:b/>
          <w:sz w:val="22"/>
          <w:szCs w:val="22"/>
        </w:rPr>
      </w:pPr>
      <w:r>
        <w:rPr>
          <w:rFonts w:ascii="Times New Roman" w:hAnsi="Times New Roman"/>
          <w:sz w:val="22"/>
          <w:szCs w:val="22"/>
          <w:lang w:val="en-US"/>
        </w:rPr>
        <w:t>User</w:t>
      </w:r>
      <w:r>
        <w:rPr>
          <w:rFonts w:ascii="Times New Roman" w:hAnsi="Times New Roman"/>
          <w:sz w:val="22"/>
          <w:szCs w:val="22"/>
        </w:rPr>
        <w:t>manuals</w:t>
      </w:r>
    </w:p>
    <w:p w:rsidR="0047783A" w:rsidRPr="003D6B6C" w:rsidRDefault="0047783A" w:rsidP="00B34179">
      <w:pPr>
        <w:spacing w:before="240"/>
        <w:ind w:left="1134" w:hanging="1134"/>
        <w:jc w:val="both"/>
        <w:rPr>
          <w:rFonts w:ascii="Times New Roman" w:hAnsi="Times New Roman"/>
          <w:b/>
          <w:sz w:val="24"/>
          <w:szCs w:val="24"/>
        </w:rPr>
      </w:pPr>
      <w:bookmarkStart w:id="8"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8"/>
    </w:p>
    <w:p w:rsidR="0047783A" w:rsidRPr="003D6B6C" w:rsidRDefault="00462E5C" w:rsidP="00B34179">
      <w:pPr>
        <w:jc w:val="both"/>
        <w:rPr>
          <w:rFonts w:ascii="Times New Roman" w:hAnsi="Times New Roman"/>
          <w:sz w:val="22"/>
          <w:szCs w:val="22"/>
        </w:rPr>
      </w:pPr>
      <w:r>
        <w:rPr>
          <w:rFonts w:ascii="Times New Roman" w:hAnsi="Times New Roman"/>
          <w:sz w:val="22"/>
          <w:szCs w:val="22"/>
        </w:rPr>
        <w:t>N.A.</w:t>
      </w:r>
    </w:p>
    <w:p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lastRenderedPageBreak/>
        <w:t>9.9</w:t>
      </w:r>
      <w:r w:rsidRPr="003D6B6C">
        <w:rPr>
          <w:rFonts w:ascii="Times New Roman" w:hAnsi="Times New Roman"/>
          <w:sz w:val="22"/>
          <w:szCs w:val="22"/>
        </w:rPr>
        <w:tab/>
      </w:r>
      <w:r w:rsidR="00B368DE" w:rsidRPr="00CD6C77">
        <w:rPr>
          <w:rFonts w:ascii="Times New Roman" w:hAnsi="Times New Roman"/>
          <w:sz w:val="22"/>
          <w:szCs w:val="22"/>
        </w:rPr>
        <w:t xml:space="preserve">The visibility measures by the Contractor must comply with the rules lay down in the </w:t>
      </w:r>
      <w:r w:rsidR="00B368DE" w:rsidRPr="00B84F1A">
        <w:rPr>
          <w:rFonts w:ascii="Times New Roman" w:hAnsi="Times New Roman"/>
          <w:sz w:val="22"/>
          <w:szCs w:val="22"/>
        </w:rPr>
        <w:t>Communication and Visibility Manual for EU External Actions published on the  website of DG International Cooperation and Development:</w:t>
      </w:r>
      <w:hyperlink r:id="rId8" w:history="1">
        <w:r w:rsidR="00B368DE" w:rsidRPr="00AF7F07">
          <w:rPr>
            <w:rStyle w:val="Hyperlink"/>
            <w:rFonts w:ascii="Times New Roman" w:hAnsi="Times New Roman"/>
            <w:sz w:val="22"/>
            <w:szCs w:val="22"/>
          </w:rPr>
          <w:t>https://ec.europa.eu/europeaid/funding/communication-and-visibility-manual-eu-external-actions_en</w:t>
        </w:r>
      </w:hyperlink>
    </w:p>
    <w:p w:rsidR="0047783A" w:rsidRPr="003D6B6C" w:rsidRDefault="0047783A" w:rsidP="001B55AC">
      <w:pPr>
        <w:keepNext/>
        <w:spacing w:before="240"/>
        <w:ind w:left="1134" w:hanging="1134"/>
        <w:jc w:val="both"/>
        <w:rPr>
          <w:rFonts w:ascii="Times New Roman" w:hAnsi="Times New Roman"/>
          <w:b/>
          <w:sz w:val="24"/>
          <w:szCs w:val="24"/>
        </w:rPr>
      </w:pPr>
      <w:bookmarkStart w:id="9"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9"/>
    </w:p>
    <w:p w:rsidR="00683E34" w:rsidRPr="00B368DE" w:rsidRDefault="0047783A" w:rsidP="00B5440B">
      <w:pPr>
        <w:pStyle w:val="Heading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B368DE">
        <w:rPr>
          <w:rFonts w:ascii="Times New Roman" w:hAnsi="Times New Roman"/>
          <w:sz w:val="22"/>
          <w:szCs w:val="22"/>
          <w:lang w:val="en-IE"/>
        </w:rPr>
        <w:t xml:space="preserve">All goods purchased can originate </w:t>
      </w:r>
      <w:r w:rsidR="006C3263" w:rsidRPr="00B368DE">
        <w:rPr>
          <w:rFonts w:ascii="Times New Roman" w:hAnsi="Times New Roman"/>
          <w:sz w:val="22"/>
          <w:szCs w:val="22"/>
          <w:lang w:val="en-IE"/>
        </w:rPr>
        <w:t>i</w:t>
      </w:r>
      <w:r w:rsidR="0039277B" w:rsidRPr="00B368DE">
        <w:rPr>
          <w:rFonts w:ascii="Times New Roman" w:hAnsi="Times New Roman"/>
          <w:sz w:val="22"/>
          <w:szCs w:val="22"/>
          <w:lang w:val="en-IE"/>
        </w:rPr>
        <w:t xml:space="preserve">n </w:t>
      </w:r>
      <w:r w:rsidR="009679FA" w:rsidRPr="00B368DE">
        <w:rPr>
          <w:rFonts w:ascii="Times New Roman" w:hAnsi="Times New Roman"/>
          <w:sz w:val="22"/>
          <w:szCs w:val="22"/>
          <w:lang w:val="en-IE"/>
        </w:rPr>
        <w:t>any country.</w:t>
      </w:r>
    </w:p>
    <w:p w:rsidR="0047783A" w:rsidRPr="00B368DE" w:rsidRDefault="0047783A" w:rsidP="00B34179">
      <w:pPr>
        <w:spacing w:before="240"/>
        <w:ind w:left="1134" w:hanging="1134"/>
        <w:jc w:val="both"/>
        <w:rPr>
          <w:rFonts w:ascii="Times New Roman" w:hAnsi="Times New Roman"/>
          <w:b/>
          <w:sz w:val="24"/>
          <w:szCs w:val="24"/>
        </w:rPr>
      </w:pPr>
      <w:bookmarkStart w:id="10" w:name="_Toc124934901"/>
      <w:r w:rsidRPr="00B368DE">
        <w:rPr>
          <w:rFonts w:ascii="Times New Roman" w:hAnsi="Times New Roman"/>
          <w:b/>
          <w:sz w:val="24"/>
          <w:szCs w:val="24"/>
        </w:rPr>
        <w:t>Article 11</w:t>
      </w:r>
      <w:r w:rsidRPr="00B368DE">
        <w:rPr>
          <w:rFonts w:ascii="Times New Roman" w:hAnsi="Times New Roman"/>
          <w:b/>
          <w:sz w:val="24"/>
          <w:szCs w:val="24"/>
        </w:rPr>
        <w:tab/>
        <w:t>Performance guarantee</w:t>
      </w:r>
      <w:bookmarkEnd w:id="10"/>
    </w:p>
    <w:p w:rsidR="00D25711" w:rsidRPr="003D6B6C" w:rsidRDefault="00F355C1" w:rsidP="00462E5C">
      <w:pPr>
        <w:spacing w:before="0"/>
        <w:ind w:left="1134" w:hanging="709"/>
        <w:jc w:val="both"/>
        <w:rPr>
          <w:rFonts w:ascii="Times New Roman" w:hAnsi="Times New Roman"/>
          <w:sz w:val="22"/>
          <w:szCs w:val="22"/>
        </w:rPr>
      </w:pPr>
      <w:r w:rsidRPr="00B368DE">
        <w:rPr>
          <w:rFonts w:ascii="Times New Roman" w:hAnsi="Times New Roman"/>
          <w:sz w:val="22"/>
          <w:szCs w:val="22"/>
        </w:rPr>
        <w:t>11.1</w:t>
      </w:r>
      <w:r w:rsidRPr="00B368DE">
        <w:rPr>
          <w:rFonts w:ascii="Times New Roman" w:hAnsi="Times New Roman"/>
          <w:sz w:val="22"/>
          <w:szCs w:val="22"/>
        </w:rPr>
        <w:tab/>
      </w:r>
      <w:r w:rsidR="00D25711" w:rsidRPr="00B368DE">
        <w:rPr>
          <w:rFonts w:ascii="Times New Roman" w:hAnsi="Times New Roman"/>
          <w:sz w:val="22"/>
          <w:szCs w:val="22"/>
        </w:rPr>
        <w:t>No performance guarantee is required.</w:t>
      </w:r>
    </w:p>
    <w:p w:rsidR="0047783A" w:rsidRPr="003D6B6C" w:rsidRDefault="0047783A" w:rsidP="00B34179">
      <w:pPr>
        <w:spacing w:before="240"/>
        <w:ind w:left="1134" w:hanging="1134"/>
        <w:jc w:val="both"/>
        <w:rPr>
          <w:rFonts w:ascii="Times New Roman" w:hAnsi="Times New Roman"/>
          <w:b/>
          <w:sz w:val="24"/>
          <w:szCs w:val="24"/>
        </w:rPr>
      </w:pPr>
      <w:bookmarkStart w:id="11"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1"/>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D31185">
        <w:rPr>
          <w:rFonts w:ascii="Times New Roman" w:hAnsi="Times New Roman"/>
          <w:sz w:val="22"/>
          <w:szCs w:val="22"/>
        </w:rPr>
        <w:t>By way of derogation from Article 12.1(a), paragraph 2, of the general conditions, compensation for damage to the supplies resulting from the contractor's liability in respect of the contracting authority is capped at an amount equal the contract value.</w:t>
      </w:r>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D31185">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D6B6C"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b), paragraph 2</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All insurance costs including transportation will be borne by the contractor until the provisional acceptance without prejudice to article 29.7 of the General Conditions.</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rsidR="00F51D3D" w:rsidRPr="003D6B6C" w:rsidRDefault="00DD29D2" w:rsidP="00DD29D2">
      <w:pPr>
        <w:spacing w:before="0"/>
        <w:ind w:left="1843"/>
        <w:jc w:val="both"/>
        <w:rPr>
          <w:rFonts w:ascii="Times New Roman" w:hAnsi="Times New Roman"/>
          <w:color w:val="222222"/>
          <w:sz w:val="22"/>
          <w:szCs w:val="22"/>
          <w:highlight w:val="yellow"/>
        </w:rPr>
      </w:pPr>
      <w:r>
        <w:rPr>
          <w:rFonts w:ascii="Times New Roman" w:hAnsi="Times New Roman"/>
          <w:color w:val="222222"/>
          <w:sz w:val="22"/>
          <w:szCs w:val="22"/>
        </w:rPr>
        <w:t>T</w:t>
      </w:r>
      <w:r w:rsidRPr="00240DBC">
        <w:rPr>
          <w:rFonts w:ascii="Times New Roman" w:hAnsi="Times New Roman"/>
          <w:color w:val="222222"/>
          <w:sz w:val="22"/>
          <w:szCs w:val="22"/>
        </w:rPr>
        <w:t>he contractor shall provide transport insurance to the extent that it assumes transportation risks. The question of the extent of the risks assumed by the contractor (seller) depends in particular on the Incoterms used:</w:t>
      </w:r>
    </w:p>
    <w:p w:rsidR="0045678B" w:rsidRPr="00DD29D2" w:rsidRDefault="00E76535" w:rsidP="00B5440B">
      <w:pPr>
        <w:pStyle w:val="Default"/>
        <w:numPr>
          <w:ilvl w:val="0"/>
          <w:numId w:val="22"/>
        </w:numPr>
        <w:spacing w:after="120"/>
        <w:ind w:left="2268"/>
        <w:jc w:val="both"/>
        <w:rPr>
          <w:sz w:val="22"/>
          <w:szCs w:val="22"/>
        </w:rPr>
      </w:pPr>
      <w:r w:rsidRPr="00DD29D2">
        <w:rPr>
          <w:b/>
          <w:i/>
          <w:iCs/>
          <w:sz w:val="22"/>
          <w:szCs w:val="22"/>
        </w:rPr>
        <w:t>DAP - Delivered At Place</w:t>
      </w:r>
      <w:r w:rsidRPr="00DD29D2">
        <w:rPr>
          <w:i/>
          <w:iCs/>
          <w:sz w:val="22"/>
          <w:szCs w:val="22"/>
        </w:rPr>
        <w:t xml:space="preserve">: </w:t>
      </w:r>
      <w:r w:rsidR="0045678B" w:rsidRPr="00DD29D2">
        <w:rPr>
          <w:color w:val="222222"/>
          <w:sz w:val="22"/>
          <w:szCs w:val="22"/>
        </w:rPr>
        <w:t xml:space="preserve">Incoterm whereby the </w:t>
      </w:r>
      <w:r w:rsidRPr="00DD29D2">
        <w:rPr>
          <w:sz w:val="22"/>
          <w:szCs w:val="22"/>
        </w:rPr>
        <w:t>buyer bears all risks and costs of import clearance</w:t>
      </w:r>
      <w:r w:rsidR="003439C4" w:rsidRPr="00DD29D2">
        <w:rPr>
          <w:sz w:val="22"/>
          <w:szCs w:val="22"/>
        </w:rPr>
        <w:t>:</w:t>
      </w:r>
    </w:p>
    <w:p w:rsidR="00E76535" w:rsidRPr="003D6B6C" w:rsidRDefault="00B2529B" w:rsidP="00B5440B">
      <w:pPr>
        <w:pStyle w:val="Default"/>
        <w:spacing w:after="120"/>
        <w:ind w:left="2268"/>
        <w:jc w:val="both"/>
        <w:rPr>
          <w:sz w:val="22"/>
          <w:szCs w:val="22"/>
        </w:rPr>
      </w:pPr>
      <w:r w:rsidRPr="00DD29D2">
        <w:rPr>
          <w:i/>
          <w:iCs/>
          <w:sz w:val="22"/>
          <w:szCs w:val="22"/>
        </w:rPr>
        <w:t>‘</w:t>
      </w:r>
      <w:r w:rsidR="00E76535" w:rsidRPr="00DD29D2">
        <w:rPr>
          <w:i/>
          <w:iCs/>
          <w:sz w:val="22"/>
          <w:szCs w:val="22"/>
        </w:rPr>
        <w:t xml:space="preserve">the seller delivers when the goods are placed at the disposal of the buyer on the arriving means of transport ready for unloading at the named place of destination. The seller bears all risks involved in bringing the goods to the </w:t>
      </w:r>
      <w:r w:rsidR="00E76535" w:rsidRPr="00DD29D2">
        <w:rPr>
          <w:i/>
          <w:iCs/>
          <w:sz w:val="22"/>
          <w:szCs w:val="22"/>
        </w:rPr>
        <w:lastRenderedPageBreak/>
        <w:t>named place</w:t>
      </w:r>
      <w:r w:rsidRPr="00DD29D2">
        <w:rPr>
          <w:i/>
          <w:iCs/>
          <w:sz w:val="22"/>
          <w:szCs w:val="22"/>
        </w:rPr>
        <w:t>’</w:t>
      </w:r>
      <w:r w:rsidR="00297C14" w:rsidRPr="00DD29D2">
        <w:rPr>
          <w:rStyle w:val="FootnoteReference"/>
          <w:i/>
          <w:iCs/>
          <w:sz w:val="22"/>
          <w:szCs w:val="22"/>
        </w:rPr>
        <w:footnoteReference w:id="2"/>
      </w:r>
      <w:r w:rsidR="003439C4" w:rsidRPr="00DD29D2">
        <w:rPr>
          <w:iCs/>
          <w:sz w:val="22"/>
          <w:szCs w:val="22"/>
        </w:rPr>
        <w:t xml:space="preserve">, including </w:t>
      </w:r>
      <w:r w:rsidR="003439C4" w:rsidRPr="00DD29D2">
        <w:rPr>
          <w:color w:val="222222"/>
          <w:sz w:val="22"/>
          <w:szCs w:val="22"/>
        </w:rPr>
        <w:t>customs clearance for export, but not for import at the port or at the border of the agreed place of destination.</w:t>
      </w:r>
    </w:p>
    <w:p w:rsidR="0047783A" w:rsidRPr="003D6B6C" w:rsidRDefault="0047783A" w:rsidP="00B34179">
      <w:pPr>
        <w:spacing w:before="240"/>
        <w:ind w:left="1134" w:hanging="1134"/>
        <w:jc w:val="both"/>
        <w:rPr>
          <w:rFonts w:ascii="Times New Roman" w:hAnsi="Times New Roman"/>
          <w:b/>
          <w:sz w:val="24"/>
          <w:szCs w:val="24"/>
        </w:rPr>
      </w:pPr>
      <w:bookmarkStart w:id="12"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2"/>
      <w:r w:rsidR="0086688D" w:rsidRPr="003D6B6C">
        <w:rPr>
          <w:rFonts w:ascii="Times New Roman" w:hAnsi="Times New Roman"/>
          <w:b/>
          <w:sz w:val="24"/>
          <w:szCs w:val="24"/>
        </w:rPr>
        <w:t>Programme of implementation of tasks</w:t>
      </w:r>
    </w:p>
    <w:p w:rsidR="0047783A" w:rsidRPr="003D6B6C" w:rsidRDefault="00AC1107" w:rsidP="005D03AA">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r w:rsidR="00360FF9">
        <w:rPr>
          <w:rFonts w:ascii="Times New Roman" w:hAnsi="Times New Roman"/>
          <w:sz w:val="22"/>
          <w:szCs w:val="22"/>
        </w:rPr>
        <w:t>All supplies</w:t>
      </w:r>
      <w:r w:rsidR="00360FF9" w:rsidRPr="00D31185">
        <w:rPr>
          <w:rFonts w:ascii="Times New Roman" w:hAnsi="Times New Roman"/>
          <w:sz w:val="22"/>
          <w:szCs w:val="22"/>
        </w:rPr>
        <w:t xml:space="preserve"> must be delivered in a timeframe of </w:t>
      </w:r>
      <w:r w:rsidR="00672AC4">
        <w:rPr>
          <w:rFonts w:ascii="Times New Roman" w:hAnsi="Times New Roman"/>
          <w:bCs/>
          <w:sz w:val="22"/>
          <w:szCs w:val="22"/>
        </w:rPr>
        <w:t>75</w:t>
      </w:r>
      <w:r w:rsidR="00360FF9">
        <w:rPr>
          <w:rFonts w:ascii="Times New Roman" w:hAnsi="Times New Roman"/>
          <w:bCs/>
          <w:sz w:val="22"/>
          <w:szCs w:val="22"/>
        </w:rPr>
        <w:t xml:space="preserve">calendar </w:t>
      </w:r>
      <w:r w:rsidR="00360FF9" w:rsidRPr="00D31185">
        <w:rPr>
          <w:rFonts w:ascii="Times New Roman" w:hAnsi="Times New Roman"/>
          <w:bCs/>
          <w:sz w:val="22"/>
          <w:szCs w:val="22"/>
        </w:rPr>
        <w:t>days</w:t>
      </w:r>
      <w:r w:rsidR="00360FF9" w:rsidRPr="00D31185">
        <w:rPr>
          <w:rFonts w:ascii="Times New Roman" w:hAnsi="Times New Roman"/>
          <w:sz w:val="22"/>
          <w:szCs w:val="22"/>
        </w:rPr>
        <w:t xml:space="preserve"> from contract signature. The Contractor will prove functionality and characteristics of </w:t>
      </w:r>
      <w:r w:rsidR="00360FF9">
        <w:rPr>
          <w:rFonts w:ascii="Times New Roman" w:hAnsi="Times New Roman"/>
          <w:sz w:val="22"/>
          <w:szCs w:val="22"/>
        </w:rPr>
        <w:t>the supplies</w:t>
      </w:r>
      <w:r w:rsidR="00360FF9" w:rsidRPr="00D31185">
        <w:rPr>
          <w:rFonts w:ascii="Times New Roman" w:hAnsi="Times New Roman"/>
          <w:sz w:val="22"/>
          <w:szCs w:val="22"/>
        </w:rPr>
        <w:t xml:space="preserve"> during the delivery. Testing and verification date will be </w:t>
      </w:r>
      <w:r w:rsidR="00360FF9">
        <w:rPr>
          <w:rFonts w:ascii="Times New Roman" w:hAnsi="Times New Roman"/>
          <w:sz w:val="22"/>
          <w:szCs w:val="22"/>
        </w:rPr>
        <w:t>defined</w:t>
      </w:r>
      <w:r w:rsidR="00360FF9" w:rsidRPr="00D31185">
        <w:rPr>
          <w:rFonts w:ascii="Times New Roman" w:hAnsi="Times New Roman"/>
          <w:sz w:val="22"/>
          <w:szCs w:val="22"/>
        </w:rPr>
        <w:t xml:space="preserve"> with Contracting Authority</w:t>
      </w:r>
    </w:p>
    <w:p w:rsidR="0047783A" w:rsidRPr="003D6B6C" w:rsidRDefault="0047783A" w:rsidP="00B34179">
      <w:pPr>
        <w:spacing w:before="240"/>
        <w:ind w:left="1134" w:hanging="1134"/>
        <w:jc w:val="both"/>
        <w:rPr>
          <w:rFonts w:ascii="Times New Roman" w:hAnsi="Times New Roman"/>
          <w:b/>
          <w:sz w:val="24"/>
          <w:szCs w:val="24"/>
        </w:rPr>
      </w:pPr>
      <w:bookmarkStart w:id="13"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3"/>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BC4A0D">
        <w:rPr>
          <w:rFonts w:ascii="Times New Roman" w:hAnsi="Times New Roman"/>
          <w:sz w:val="22"/>
          <w:szCs w:val="22"/>
        </w:rPr>
        <w:t>N.A.</w:t>
      </w:r>
    </w:p>
    <w:p w:rsidR="0047783A" w:rsidRDefault="0047783A" w:rsidP="00B34179">
      <w:pPr>
        <w:spacing w:before="240"/>
        <w:ind w:left="1134" w:hanging="1134"/>
        <w:jc w:val="both"/>
        <w:rPr>
          <w:rFonts w:ascii="Times New Roman" w:hAnsi="Times New Roman"/>
          <w:b/>
          <w:sz w:val="24"/>
          <w:szCs w:val="24"/>
        </w:rPr>
      </w:pPr>
      <w:bookmarkStart w:id="14"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4"/>
    </w:p>
    <w:p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BC4A0D" w:rsidRPr="0096294D">
        <w:rPr>
          <w:rFonts w:ascii="Times New Roman" w:hAnsi="Times New Roman"/>
          <w:sz w:val="22"/>
          <w:szCs w:val="22"/>
        </w:rPr>
        <w:t>The prices in the contract are fixed</w:t>
      </w:r>
    </w:p>
    <w:p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8C50AC" w:rsidRPr="000E09F5">
        <w:rPr>
          <w:rFonts w:ascii="Times New Roman" w:hAnsi="Times New Roman"/>
          <w:sz w:val="22"/>
          <w:szCs w:val="22"/>
        </w:rPr>
        <w:t>Delivery conditions are DAP.</w:t>
      </w:r>
    </w:p>
    <w:p w:rsidR="0047783A" w:rsidRPr="003D6B6C" w:rsidRDefault="0047783A" w:rsidP="00B34179">
      <w:pPr>
        <w:spacing w:before="240"/>
        <w:ind w:left="1134" w:hanging="1134"/>
        <w:jc w:val="both"/>
        <w:rPr>
          <w:rFonts w:ascii="Times New Roman" w:hAnsi="Times New Roman"/>
          <w:b/>
          <w:sz w:val="24"/>
          <w:szCs w:val="24"/>
        </w:rPr>
      </w:pPr>
      <w:bookmarkStart w:id="15"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5"/>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8C50AC">
        <w:rPr>
          <w:rFonts w:ascii="Times New Roman" w:hAnsi="Times New Roman"/>
          <w:sz w:val="22"/>
          <w:szCs w:val="22"/>
        </w:rPr>
        <w:t>N.A.</w:t>
      </w:r>
    </w:p>
    <w:p w:rsidR="00EB32E9" w:rsidRPr="003D6B6C" w:rsidRDefault="0047783A" w:rsidP="00B34179">
      <w:pPr>
        <w:spacing w:before="240"/>
        <w:ind w:left="1134" w:hanging="1134"/>
        <w:jc w:val="both"/>
        <w:rPr>
          <w:rFonts w:ascii="Times New Roman" w:hAnsi="Times New Roman"/>
          <w:b/>
          <w:sz w:val="24"/>
          <w:szCs w:val="24"/>
        </w:rPr>
      </w:pPr>
      <w:bookmarkStart w:id="16"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6"/>
    </w:p>
    <w:p w:rsidR="00A13EB8" w:rsidRDefault="0047783A" w:rsidP="008C50AC">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8C50AC" w:rsidRPr="0096294D">
        <w:rPr>
          <w:rFonts w:ascii="Times New Roman" w:hAnsi="Times New Roman"/>
          <w:sz w:val="22"/>
          <w:szCs w:val="22"/>
        </w:rPr>
        <w:t>The implementation of the tasks shall commence on the date after both parties signs the Contract.</w:t>
      </w:r>
    </w:p>
    <w:p w:rsidR="0047783A" w:rsidRPr="003D6B6C" w:rsidRDefault="0047783A" w:rsidP="00B34179">
      <w:pPr>
        <w:spacing w:before="240"/>
        <w:ind w:left="1134" w:hanging="1134"/>
        <w:jc w:val="both"/>
        <w:rPr>
          <w:rFonts w:ascii="Times New Roman" w:hAnsi="Times New Roman"/>
          <w:b/>
          <w:sz w:val="24"/>
          <w:szCs w:val="24"/>
        </w:rPr>
      </w:pPr>
      <w:bookmarkStart w:id="17"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7"/>
      <w:r w:rsidRPr="003D6B6C">
        <w:rPr>
          <w:rFonts w:ascii="Times New Roman" w:hAnsi="Times New Roman"/>
          <w:b/>
          <w:sz w:val="24"/>
          <w:szCs w:val="24"/>
        </w:rPr>
        <w:t xml:space="preserve"> of the tasks</w:t>
      </w:r>
    </w:p>
    <w:p w:rsidR="00E55D87" w:rsidRPr="003D6B6C" w:rsidRDefault="0047783A" w:rsidP="008C50AC">
      <w:pPr>
        <w:spacing w:before="0"/>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8C50AC" w:rsidRPr="0096294D">
        <w:rPr>
          <w:rFonts w:ascii="Times New Roman" w:hAnsi="Times New Roman"/>
          <w:sz w:val="22"/>
          <w:szCs w:val="22"/>
        </w:rPr>
        <w:t xml:space="preserve">The implementation </w:t>
      </w:r>
      <w:r w:rsidR="008C50AC">
        <w:rPr>
          <w:rFonts w:ascii="Times New Roman" w:hAnsi="Times New Roman"/>
          <w:sz w:val="22"/>
          <w:szCs w:val="22"/>
        </w:rPr>
        <w:t>period of the tasks is 180</w:t>
      </w:r>
      <w:r w:rsidR="008C50AC" w:rsidRPr="0096294D">
        <w:rPr>
          <w:rFonts w:ascii="Times New Roman" w:hAnsi="Times New Roman"/>
          <w:sz w:val="22"/>
          <w:szCs w:val="22"/>
        </w:rPr>
        <w:t xml:space="preserve"> calendar days in relation to the date stipulated in the previous Article.</w:t>
      </w:r>
    </w:p>
    <w:p w:rsidR="0047783A" w:rsidRPr="003D6B6C" w:rsidRDefault="0047783A" w:rsidP="00B34179">
      <w:pPr>
        <w:spacing w:before="240"/>
        <w:ind w:left="1134" w:hanging="1134"/>
        <w:jc w:val="both"/>
        <w:rPr>
          <w:rFonts w:ascii="Times New Roman" w:hAnsi="Times New Roman"/>
          <w:b/>
          <w:sz w:val="24"/>
          <w:szCs w:val="24"/>
        </w:rPr>
      </w:pPr>
      <w:bookmarkStart w:id="18"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8"/>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8C50AC" w:rsidRPr="00E20A36">
        <w:rPr>
          <w:rFonts w:ascii="Times New Roman" w:hAnsi="Times New Roman"/>
          <w:sz w:val="22"/>
          <w:szCs w:val="22"/>
        </w:rPr>
        <w:t>No preliminary technical acceptance is required</w:t>
      </w:r>
    </w:p>
    <w:p w:rsidR="0047783A" w:rsidRPr="003D6B6C" w:rsidRDefault="0047783A" w:rsidP="00B34179">
      <w:pPr>
        <w:spacing w:before="240"/>
        <w:ind w:left="1134" w:hanging="1134"/>
        <w:jc w:val="both"/>
        <w:rPr>
          <w:rFonts w:ascii="Times New Roman" w:hAnsi="Times New Roman"/>
          <w:b/>
          <w:sz w:val="24"/>
          <w:szCs w:val="24"/>
        </w:rPr>
      </w:pPr>
      <w:bookmarkStart w:id="19"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9"/>
    </w:p>
    <w:p w:rsidR="0047783A" w:rsidRPr="003D6B6C" w:rsidRDefault="005B0129" w:rsidP="005D03AA">
      <w:pPr>
        <w:ind w:left="1134" w:hanging="709"/>
        <w:jc w:val="both"/>
        <w:rPr>
          <w:rFonts w:ascii="Times New Roman" w:hAnsi="Times New Roman"/>
          <w:b/>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8C50AC" w:rsidRPr="00E20A36">
        <w:rPr>
          <w:rFonts w:ascii="Times New Roman" w:hAnsi="Times New Roman"/>
          <w:bCs/>
          <w:sz w:val="22"/>
          <w:szCs w:val="22"/>
        </w:rPr>
        <w:t xml:space="preserve">All goods will be inspected and tested in </w:t>
      </w:r>
      <w:r w:rsidR="008C50AC" w:rsidRPr="00007779">
        <w:rPr>
          <w:rFonts w:ascii="Times New Roman" w:hAnsi="Times New Roman"/>
          <w:bCs/>
          <w:sz w:val="22"/>
          <w:szCs w:val="22"/>
        </w:rPr>
        <w:t xml:space="preserve">place of delivery – </w:t>
      </w:r>
      <w:r w:rsidR="008C50AC">
        <w:rPr>
          <w:rFonts w:ascii="Times New Roman" w:hAnsi="Times New Roman"/>
          <w:bCs/>
          <w:sz w:val="22"/>
          <w:szCs w:val="22"/>
        </w:rPr>
        <w:t>Municipality of Negotino</w:t>
      </w:r>
      <w:r w:rsidR="008C50AC" w:rsidRPr="00597839">
        <w:rPr>
          <w:rFonts w:ascii="Times New Roman" w:hAnsi="Times New Roman"/>
          <w:bCs/>
          <w:sz w:val="22"/>
          <w:szCs w:val="22"/>
        </w:rPr>
        <w:t>in accordance with Article 25 of the general conditions and the practical arrangements for testing</w:t>
      </w:r>
    </w:p>
    <w:p w:rsidR="0047783A" w:rsidRPr="003D6B6C" w:rsidRDefault="0047783A" w:rsidP="00B34179">
      <w:pPr>
        <w:spacing w:before="240"/>
        <w:ind w:left="1134" w:hanging="1134"/>
        <w:jc w:val="both"/>
        <w:rPr>
          <w:rFonts w:ascii="Times New Roman" w:hAnsi="Times New Roman"/>
          <w:b/>
          <w:sz w:val="24"/>
          <w:szCs w:val="24"/>
        </w:rPr>
      </w:pPr>
      <w:bookmarkStart w:id="20" w:name="_Toc124934912"/>
      <w:r w:rsidRPr="003D6B6C">
        <w:rPr>
          <w:rFonts w:ascii="Times New Roman" w:hAnsi="Times New Roman"/>
          <w:b/>
          <w:sz w:val="24"/>
          <w:szCs w:val="24"/>
        </w:rPr>
        <w:lastRenderedPageBreak/>
        <w:t>Article 26</w:t>
      </w:r>
      <w:r w:rsidRPr="003D6B6C">
        <w:rPr>
          <w:rFonts w:ascii="Times New Roman" w:hAnsi="Times New Roman"/>
          <w:b/>
          <w:sz w:val="24"/>
          <w:szCs w:val="24"/>
        </w:rPr>
        <w:tab/>
      </w:r>
      <w:bookmarkEnd w:id="20"/>
      <w:r w:rsidR="005B0129" w:rsidRPr="003D6B6C">
        <w:rPr>
          <w:rFonts w:ascii="Times New Roman" w:hAnsi="Times New Roman"/>
          <w:b/>
          <w:sz w:val="24"/>
          <w:szCs w:val="24"/>
        </w:rPr>
        <w:t>General principles for payments</w:t>
      </w:r>
    </w:p>
    <w:p w:rsidR="0047783A" w:rsidRPr="003D6B6C" w:rsidRDefault="0047783A" w:rsidP="005963E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963E7" w:rsidRPr="00CF5E0D">
        <w:rPr>
          <w:rFonts w:ascii="Times New Roman" w:hAnsi="Times New Roman"/>
          <w:sz w:val="22"/>
          <w:szCs w:val="22"/>
        </w:rPr>
        <w:t xml:space="preserve">Payments shall be made in MKD </w:t>
      </w:r>
      <w:r w:rsidR="005963E7" w:rsidRPr="00CF5E0D">
        <w:rPr>
          <w:rFonts w:ascii="Times New Roman" w:hAnsi="Times New Roman"/>
          <w:sz w:val="22"/>
          <w:szCs w:val="22"/>
          <w:lang w:val="en-US"/>
        </w:rPr>
        <w:t xml:space="preserve">according to the monthly exchange rate publish by the EU on: </w:t>
      </w:r>
      <w:hyperlink r:id="rId9" w:history="1">
        <w:r w:rsidR="005963E7" w:rsidRPr="00CF5E0D">
          <w:rPr>
            <w:rStyle w:val="Hyperlink"/>
            <w:rFonts w:ascii="Times New Roman" w:hAnsi="Times New Roman"/>
            <w:sz w:val="22"/>
            <w:szCs w:val="22"/>
          </w:rPr>
          <w:t>Exchange rate (InforEuro) | European Commission (europa.eu)</w:t>
        </w:r>
      </w:hyperlink>
    </w:p>
    <w:p w:rsidR="005963E7" w:rsidRPr="00CF5E0D" w:rsidRDefault="006D5CEE" w:rsidP="005963E7">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5963E7" w:rsidRPr="00CF5E0D">
        <w:rPr>
          <w:rFonts w:ascii="Times New Roman" w:hAnsi="Times New Roman"/>
          <w:sz w:val="22"/>
          <w:szCs w:val="22"/>
        </w:rPr>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rsidR="005963E7" w:rsidRPr="003D6B6C" w:rsidRDefault="005963E7" w:rsidP="005963E7">
      <w:pPr>
        <w:ind w:left="1134"/>
        <w:jc w:val="both"/>
        <w:rPr>
          <w:rFonts w:ascii="Times New Roman" w:hAnsi="Times New Roman"/>
          <w:sz w:val="22"/>
          <w:szCs w:val="22"/>
        </w:rPr>
      </w:pPr>
      <w:r w:rsidRPr="00CF5E0D">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rsidR="005963E7" w:rsidRPr="003D6B6C" w:rsidRDefault="005963E7" w:rsidP="005963E7">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rsidR="005963E7" w:rsidRPr="00CF5E0D" w:rsidRDefault="005963E7" w:rsidP="005963E7">
      <w:pPr>
        <w:ind w:left="1560" w:hanging="426"/>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Pr="00CF5E0D">
        <w:rPr>
          <w:rFonts w:ascii="Times New Roman" w:hAnsi="Times New Roman"/>
          <w:bCs/>
          <w:sz w:val="22"/>
          <w:szCs w:val="22"/>
        </w:rPr>
        <w:t>For the 40% pre-financing</w:t>
      </w:r>
      <w:r w:rsidRPr="00CF5E0D">
        <w:rPr>
          <w:rFonts w:ascii="Times New Roman" w:hAnsi="Times New Roman"/>
          <w:sz w:val="22"/>
          <w:szCs w:val="22"/>
        </w:rPr>
        <w:t>, the invoice.</w:t>
      </w:r>
    </w:p>
    <w:p w:rsidR="005963E7" w:rsidRPr="00CF5E0D" w:rsidRDefault="005963E7" w:rsidP="005963E7">
      <w:pPr>
        <w:spacing w:before="0" w:after="0"/>
        <w:ind w:left="1560"/>
        <w:jc w:val="both"/>
        <w:rPr>
          <w:rFonts w:ascii="Times New Roman" w:hAnsi="Times New Roman"/>
          <w:bCs/>
          <w:sz w:val="22"/>
          <w:szCs w:val="22"/>
        </w:rPr>
      </w:pPr>
      <w:r w:rsidRPr="00CF5E0D">
        <w:rPr>
          <w:rFonts w:ascii="Times New Roman" w:hAnsi="Times New Roman"/>
          <w:sz w:val="22"/>
          <w:szCs w:val="22"/>
        </w:rPr>
        <w:t>When</w:t>
      </w:r>
      <w:r w:rsidRPr="00CF5E0D">
        <w:rPr>
          <w:rFonts w:ascii="Times New Roman" w:hAnsi="Times New Roman"/>
          <w:bCs/>
          <w:sz w:val="22"/>
          <w:szCs w:val="22"/>
        </w:rPr>
        <w:t xml:space="preserve"> (i) the pre-financing requested is equal or below EUR 300 000 </w:t>
      </w:r>
      <w:r w:rsidRPr="00CF5E0D">
        <w:rPr>
          <w:rFonts w:ascii="Times New Roman" w:hAnsi="Times New Roman"/>
          <w:b/>
          <w:bCs/>
          <w:sz w:val="22"/>
          <w:szCs w:val="22"/>
        </w:rPr>
        <w:t>and</w:t>
      </w:r>
      <w:r w:rsidRPr="00CF5E0D">
        <w:rPr>
          <w:rFonts w:ascii="Times New Roman" w:hAnsi="Times New Roman"/>
          <w:bCs/>
          <w:sz w:val="22"/>
          <w:szCs w:val="22"/>
        </w:rPr>
        <w:t xml:space="preserve"> (ii) the contracting authority does not require a financial guarantee following a risk assessment</w:t>
      </w:r>
      <w:r w:rsidRPr="00CF5E0D">
        <w:rPr>
          <w:rStyle w:val="FootnoteReference"/>
          <w:rFonts w:ascii="Times New Roman" w:hAnsi="Times New Roman"/>
          <w:bCs/>
          <w:sz w:val="22"/>
          <w:szCs w:val="22"/>
        </w:rPr>
        <w:footnoteReference w:id="3"/>
      </w:r>
      <w:r w:rsidRPr="00CF5E0D">
        <w:rPr>
          <w:rFonts w:ascii="Times New Roman" w:hAnsi="Times New Roman"/>
          <w:bCs/>
          <w:sz w:val="22"/>
          <w:szCs w:val="22"/>
        </w:rPr>
        <w:t xml:space="preserve">, by derogation from article </w:t>
      </w:r>
      <w:r w:rsidRPr="00CF5E0D">
        <w:rPr>
          <w:rFonts w:ascii="Times New Roman" w:hAnsi="Times New Roman"/>
          <w:sz w:val="22"/>
          <w:szCs w:val="22"/>
        </w:rPr>
        <w:t xml:space="preserve">26.5 of the general conditions </w:t>
      </w:r>
      <w:r w:rsidRPr="00CF5E0D">
        <w:rPr>
          <w:rFonts w:ascii="Times New Roman" w:hAnsi="Times New Roman"/>
          <w:bCs/>
          <w:sz w:val="22"/>
          <w:szCs w:val="22"/>
        </w:rPr>
        <w:t>no pre-financing guarantee is required.</w:t>
      </w:r>
    </w:p>
    <w:p w:rsidR="005963E7" w:rsidRPr="00CF5E0D" w:rsidRDefault="005963E7" w:rsidP="005963E7">
      <w:pPr>
        <w:spacing w:after="0"/>
        <w:ind w:left="1559" w:hanging="425"/>
        <w:jc w:val="both"/>
        <w:rPr>
          <w:rFonts w:ascii="Times New Roman" w:hAnsi="Times New Roman"/>
          <w:sz w:val="22"/>
          <w:szCs w:val="22"/>
        </w:rPr>
      </w:pPr>
      <w:r w:rsidRPr="00CF5E0D">
        <w:rPr>
          <w:rFonts w:ascii="Times New Roman" w:hAnsi="Times New Roman"/>
          <w:sz w:val="22"/>
          <w:szCs w:val="22"/>
        </w:rPr>
        <w:t>b)</w:t>
      </w:r>
      <w:r w:rsidRPr="00CF5E0D">
        <w:rPr>
          <w:rFonts w:ascii="Times New Roman" w:hAnsi="Times New Roman"/>
          <w:b/>
          <w:sz w:val="22"/>
          <w:szCs w:val="22"/>
        </w:rPr>
        <w:tab/>
      </w:r>
      <w:r w:rsidRPr="00CF5E0D">
        <w:rPr>
          <w:rFonts w:ascii="Times New Roman" w:hAnsi="Times New Roman"/>
          <w:bCs/>
          <w:sz w:val="22"/>
          <w:szCs w:val="22"/>
        </w:rPr>
        <w:t>For the 60 % balance</w:t>
      </w:r>
      <w:r w:rsidRPr="00CF5E0D">
        <w:rPr>
          <w:rFonts w:ascii="Times New Roman" w:hAnsi="Times New Roman"/>
          <w:sz w:val="22"/>
          <w:szCs w:val="22"/>
        </w:rPr>
        <w:t xml:space="preserve"> the invoice together with the request for provisional acceptance of the supplies.</w:t>
      </w:r>
    </w:p>
    <w:p w:rsidR="005963E7" w:rsidRPr="003D6B6C" w:rsidRDefault="005963E7" w:rsidP="005963E7">
      <w:pPr>
        <w:ind w:left="1134" w:hanging="709"/>
        <w:jc w:val="both"/>
        <w:rPr>
          <w:rFonts w:ascii="Times New Roman" w:hAnsi="Times New Roman"/>
          <w:b/>
          <w:sz w:val="22"/>
          <w:szCs w:val="22"/>
        </w:rPr>
      </w:pPr>
      <w:r w:rsidRPr="00CF5E0D">
        <w:rPr>
          <w:rFonts w:ascii="Times New Roman" w:hAnsi="Times New Roman"/>
          <w:sz w:val="22"/>
          <w:szCs w:val="22"/>
        </w:rPr>
        <w:t>26.9</w:t>
      </w:r>
      <w:r w:rsidRPr="00CF5E0D">
        <w:rPr>
          <w:rFonts w:ascii="Times New Roman" w:hAnsi="Times New Roman"/>
          <w:b/>
          <w:sz w:val="22"/>
          <w:szCs w:val="22"/>
        </w:rPr>
        <w:tab/>
      </w:r>
      <w:r w:rsidRPr="00CF5E0D">
        <w:rPr>
          <w:rFonts w:ascii="Times New Roman" w:hAnsi="Times New Roman"/>
          <w:color w:val="000000"/>
          <w:sz w:val="22"/>
          <w:szCs w:val="22"/>
        </w:rPr>
        <w:t>No derogation from the General conditions</w:t>
      </w:r>
    </w:p>
    <w:p w:rsidR="006A601D" w:rsidRPr="003D6B6C" w:rsidRDefault="006A601D" w:rsidP="005963E7">
      <w:pPr>
        <w:spacing w:before="0"/>
        <w:ind w:left="1134" w:hanging="709"/>
        <w:jc w:val="both"/>
        <w:rPr>
          <w:rFonts w:ascii="Times New Roman" w:hAnsi="Times New Roman"/>
          <w:b/>
          <w:sz w:val="22"/>
          <w:szCs w:val="22"/>
        </w:rPr>
      </w:pPr>
    </w:p>
    <w:p w:rsidR="0047783A" w:rsidRPr="003D6B6C" w:rsidRDefault="0047783A" w:rsidP="00B34179">
      <w:pPr>
        <w:spacing w:before="240"/>
        <w:ind w:left="1134" w:hanging="1134"/>
        <w:jc w:val="both"/>
        <w:rPr>
          <w:rFonts w:ascii="Times New Roman" w:hAnsi="Times New Roman"/>
          <w:b/>
          <w:sz w:val="24"/>
          <w:szCs w:val="24"/>
        </w:rPr>
      </w:pPr>
      <w:bookmarkStart w:id="21"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rsidR="0047783A" w:rsidRPr="003D6B6C" w:rsidRDefault="0047783A" w:rsidP="005963E7">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5963E7">
        <w:rPr>
          <w:rFonts w:ascii="Times New Roman" w:hAnsi="Times New Roman"/>
          <w:snapToGrid/>
          <w:sz w:val="22"/>
          <w:szCs w:val="22"/>
          <w:lang w:eastAsia="en-GB"/>
        </w:rPr>
        <w:t xml:space="preserve">By derogation from Article 28.2 of the </w:t>
      </w:r>
      <w:r w:rsidR="00F60098" w:rsidRPr="005963E7">
        <w:rPr>
          <w:rFonts w:ascii="Times New Roman" w:hAnsi="Times New Roman"/>
          <w:snapToGrid/>
          <w:sz w:val="22"/>
          <w:szCs w:val="22"/>
          <w:lang w:eastAsia="en-GB"/>
        </w:rPr>
        <w:t>g</w:t>
      </w:r>
      <w:r w:rsidRPr="005963E7">
        <w:rPr>
          <w:rFonts w:ascii="Times New Roman" w:hAnsi="Times New Roman"/>
          <w:snapToGrid/>
          <w:sz w:val="22"/>
          <w:szCs w:val="22"/>
          <w:lang w:eastAsia="en-GB"/>
        </w:rPr>
        <w:t xml:space="preserve">eneral </w:t>
      </w:r>
      <w:r w:rsidR="00F60098" w:rsidRPr="005963E7">
        <w:rPr>
          <w:rFonts w:ascii="Times New Roman" w:hAnsi="Times New Roman"/>
          <w:snapToGrid/>
          <w:sz w:val="22"/>
          <w:szCs w:val="22"/>
          <w:lang w:eastAsia="en-GB"/>
        </w:rPr>
        <w:t>c</w:t>
      </w:r>
      <w:r w:rsidRPr="005963E7">
        <w:rPr>
          <w:rFonts w:ascii="Times New Roman" w:hAnsi="Times New Roman"/>
          <w:snapToGrid/>
          <w:sz w:val="22"/>
          <w:szCs w:val="22"/>
          <w:lang w:eastAsia="en-GB"/>
        </w:rPr>
        <w:t>onditions, o</w:t>
      </w:r>
      <w:r w:rsidRPr="005963E7">
        <w:rPr>
          <w:rFonts w:ascii="Times New Roman" w:hAnsi="Times New Roman"/>
          <w:sz w:val="22"/>
          <w:szCs w:val="22"/>
        </w:rPr>
        <w:t>nce the deadline laid down in Article 2</w:t>
      </w:r>
      <w:r w:rsidR="00D83918" w:rsidRPr="005963E7">
        <w:rPr>
          <w:rFonts w:ascii="Times New Roman" w:hAnsi="Times New Roman"/>
          <w:sz w:val="22"/>
          <w:szCs w:val="22"/>
        </w:rPr>
        <w:t>6.3</w:t>
      </w:r>
      <w:r w:rsidRPr="005963E7">
        <w:rPr>
          <w:rFonts w:ascii="Times New Roman" w:hAnsi="Times New Roman"/>
          <w:sz w:val="22"/>
          <w:szCs w:val="22"/>
        </w:rPr>
        <w:t xml:space="preserve"> has expired, the </w:t>
      </w:r>
      <w:r w:rsidR="00F60098" w:rsidRPr="005963E7">
        <w:rPr>
          <w:rFonts w:ascii="Times New Roman" w:hAnsi="Times New Roman"/>
          <w:sz w:val="22"/>
          <w:szCs w:val="22"/>
        </w:rPr>
        <w:t>c</w:t>
      </w:r>
      <w:r w:rsidRPr="005963E7">
        <w:rPr>
          <w:rFonts w:ascii="Times New Roman" w:hAnsi="Times New Roman"/>
          <w:sz w:val="22"/>
          <w:szCs w:val="22"/>
        </w:rPr>
        <w:t xml:space="preserve">ontractor </w:t>
      </w:r>
      <w:r w:rsidR="00551543" w:rsidRPr="005963E7">
        <w:rPr>
          <w:rFonts w:ascii="Times New Roman" w:hAnsi="Times New Roman"/>
          <w:sz w:val="22"/>
          <w:szCs w:val="22"/>
        </w:rPr>
        <w:t>sha</w:t>
      </w:r>
      <w:r w:rsidR="006D3BA1" w:rsidRPr="005963E7">
        <w:rPr>
          <w:rFonts w:ascii="Times New Roman" w:hAnsi="Times New Roman"/>
          <w:sz w:val="22"/>
          <w:szCs w:val="22"/>
        </w:rPr>
        <w:t>ll,</w:t>
      </w:r>
      <w:r w:rsidRPr="005963E7">
        <w:rPr>
          <w:rFonts w:ascii="Times New Roman" w:hAnsi="Times New Roman"/>
          <w:sz w:val="22"/>
          <w:szCs w:val="22"/>
        </w:rPr>
        <w:t xml:space="preserve"> upon demand, </w:t>
      </w:r>
      <w:r w:rsidR="006D3BA1" w:rsidRPr="005963E7">
        <w:rPr>
          <w:rFonts w:ascii="Times New Roman" w:hAnsi="Times New Roman"/>
          <w:sz w:val="22"/>
          <w:szCs w:val="22"/>
        </w:rPr>
        <w:t xml:space="preserve">be entitled to late-payment interest </w:t>
      </w:r>
      <w:r w:rsidR="00117ADA" w:rsidRPr="005963E7">
        <w:rPr>
          <w:rFonts w:ascii="Times New Roman" w:hAnsi="Times New Roman"/>
          <w:sz w:val="22"/>
          <w:szCs w:val="22"/>
        </w:rPr>
        <w:t xml:space="preserve">at the rate and for the period mentioned in the </w:t>
      </w:r>
      <w:r w:rsidR="00F60098" w:rsidRPr="005963E7">
        <w:rPr>
          <w:rFonts w:ascii="Times New Roman" w:hAnsi="Times New Roman"/>
          <w:sz w:val="22"/>
          <w:szCs w:val="22"/>
        </w:rPr>
        <w:t>g</w:t>
      </w:r>
      <w:r w:rsidR="00117ADA" w:rsidRPr="005963E7">
        <w:rPr>
          <w:rFonts w:ascii="Times New Roman" w:hAnsi="Times New Roman"/>
          <w:sz w:val="22"/>
          <w:szCs w:val="22"/>
        </w:rPr>
        <w:t xml:space="preserve">eneral </w:t>
      </w:r>
      <w:r w:rsidR="00F60098" w:rsidRPr="005963E7">
        <w:rPr>
          <w:rFonts w:ascii="Times New Roman" w:hAnsi="Times New Roman"/>
          <w:sz w:val="22"/>
          <w:szCs w:val="22"/>
        </w:rPr>
        <w:t>c</w:t>
      </w:r>
      <w:r w:rsidR="00117ADA" w:rsidRPr="005963E7">
        <w:rPr>
          <w:rFonts w:ascii="Times New Roman" w:hAnsi="Times New Roman"/>
          <w:sz w:val="22"/>
          <w:szCs w:val="22"/>
        </w:rPr>
        <w:t>onditions</w:t>
      </w:r>
      <w:r w:rsidR="006D3BA1" w:rsidRPr="005963E7">
        <w:rPr>
          <w:rFonts w:ascii="Times New Roman" w:hAnsi="Times New Roman"/>
          <w:sz w:val="22"/>
          <w:szCs w:val="22"/>
        </w:rPr>
        <w:t xml:space="preserve">. The demand must be </w:t>
      </w:r>
      <w:r w:rsidRPr="005963E7">
        <w:rPr>
          <w:rFonts w:ascii="Times New Roman" w:hAnsi="Times New Roman"/>
          <w:sz w:val="22"/>
          <w:szCs w:val="22"/>
        </w:rPr>
        <w:t>submitted within two months of receiving late payment.</w:t>
      </w:r>
    </w:p>
    <w:p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1"/>
    </w:p>
    <w:p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5963E7">
        <w:rPr>
          <w:rFonts w:ascii="Times New Roman" w:hAnsi="Times New Roman"/>
          <w:sz w:val="22"/>
          <w:szCs w:val="22"/>
        </w:rPr>
        <w:t>DAP</w:t>
      </w:r>
      <w:r w:rsidRPr="0043240C">
        <w:rPr>
          <w:rFonts w:ascii="Times New Roman" w:hAnsi="Times New Roman"/>
          <w:sz w:val="22"/>
          <w:vertAlign w:val="superscript"/>
        </w:rPr>
        <w:footnoteReference w:id="4"/>
      </w:r>
    </w:p>
    <w:p w:rsidR="0047783A" w:rsidRDefault="0047783A" w:rsidP="005963E7">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5963E7" w:rsidRPr="008A3AC6">
        <w:rPr>
          <w:rFonts w:ascii="Times New Roman" w:hAnsi="Times New Roman"/>
          <w:sz w:val="22"/>
          <w:szCs w:val="22"/>
        </w:rPr>
        <w:t>The packaging shall become the property of the recipient subject to environmental considerations.</w:t>
      </w:r>
    </w:p>
    <w:p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5963E7">
        <w:rPr>
          <w:rFonts w:ascii="Times New Roman" w:hAnsi="Times New Roman"/>
          <w:sz w:val="22"/>
        </w:rPr>
        <w:t>Negotino</w:t>
      </w:r>
      <w:r>
        <w:rPr>
          <w:rFonts w:ascii="Times New Roman" w:hAnsi="Times New Roman"/>
          <w:sz w:val="22"/>
        </w:rPr>
        <w:t>.</w:t>
      </w:r>
    </w:p>
    <w:p w:rsidR="005963E7" w:rsidRDefault="0047783A" w:rsidP="005963E7">
      <w:pPr>
        <w:spacing w:before="40" w:after="40"/>
        <w:ind w:left="1134" w:hanging="992"/>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5963E7" w:rsidRPr="004055E9">
        <w:rPr>
          <w:rFonts w:ascii="Times New Roman" w:hAnsi="Times New Roman"/>
          <w:sz w:val="22"/>
          <w:szCs w:val="22"/>
        </w:rPr>
        <w:t>The documents which shall accompany each delivery include as follows:</w:t>
      </w:r>
    </w:p>
    <w:p w:rsidR="005963E7" w:rsidRPr="0047247A" w:rsidRDefault="005963E7" w:rsidP="005963E7">
      <w:pPr>
        <w:pStyle w:val="ListParagraph"/>
        <w:numPr>
          <w:ilvl w:val="0"/>
          <w:numId w:val="28"/>
        </w:numPr>
        <w:spacing w:before="40" w:after="40"/>
        <w:ind w:left="1560" w:hanging="142"/>
        <w:jc w:val="both"/>
        <w:rPr>
          <w:rFonts w:ascii="Times New Roman" w:hAnsi="Times New Roman"/>
          <w:lang w:val="bg-BG"/>
        </w:rPr>
      </w:pPr>
      <w:r w:rsidRPr="0047247A">
        <w:rPr>
          <w:rFonts w:ascii="Times New Roman" w:hAnsi="Times New Roman"/>
        </w:rPr>
        <w:t xml:space="preserve">an invoice in triplicate, where the name and reference number of the project and the tender procedure </w:t>
      </w:r>
      <w:r w:rsidRPr="0047247A">
        <w:rPr>
          <w:rFonts w:ascii="Times New Roman" w:hAnsi="Times New Roman"/>
          <w:lang w:val="en-US"/>
        </w:rPr>
        <w:t>shall be included in the description</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lastRenderedPageBreak/>
        <w:t xml:space="preserve">Certificates/declarations of conformity of the </w:t>
      </w:r>
      <w:r w:rsidR="00672AC4">
        <w:rPr>
          <w:rFonts w:ascii="Times New Roman" w:hAnsi="Times New Roman"/>
        </w:rPr>
        <w:t>computers</w:t>
      </w:r>
      <w:r w:rsidRPr="0047247A">
        <w:rPr>
          <w:rFonts w:ascii="Times New Roman" w:hAnsi="Times New Roman"/>
        </w:rPr>
        <w:t xml:space="preserve"> with the requirements of the European Norms or equivalent documents</w:t>
      </w:r>
    </w:p>
    <w:p w:rsidR="005963E7" w:rsidRPr="005963E7"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lang w:val="en-US"/>
        </w:rPr>
        <w:t>a warranty certificates</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 xml:space="preserve">Technical documentation in </w:t>
      </w:r>
      <w:r>
        <w:rPr>
          <w:rFonts w:ascii="Times New Roman" w:hAnsi="Times New Roman"/>
        </w:rPr>
        <w:t>Macedonian</w:t>
      </w:r>
      <w:r w:rsidRPr="0047247A">
        <w:rPr>
          <w:rFonts w:ascii="Times New Roman" w:hAnsi="Times New Roman"/>
        </w:rPr>
        <w:t xml:space="preserve"> language, including the following:</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Technical data and characteristics;</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User manual.</w:t>
      </w:r>
    </w:p>
    <w:p w:rsidR="0047783A" w:rsidRPr="003D6B6C" w:rsidRDefault="0047783A" w:rsidP="00B34179">
      <w:pPr>
        <w:spacing w:before="240"/>
        <w:ind w:left="1134" w:hanging="1134"/>
        <w:jc w:val="both"/>
        <w:rPr>
          <w:rFonts w:ascii="Times New Roman" w:hAnsi="Times New Roman"/>
          <w:b/>
          <w:sz w:val="24"/>
          <w:szCs w:val="24"/>
        </w:rPr>
      </w:pPr>
      <w:bookmarkStart w:id="22"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2"/>
    </w:p>
    <w:p w:rsidR="005963E7" w:rsidRPr="003D6B6C" w:rsidRDefault="005963E7" w:rsidP="005963E7">
      <w:pPr>
        <w:autoSpaceDE w:val="0"/>
        <w:autoSpaceDN w:val="0"/>
        <w:adjustRightInd w:val="0"/>
        <w:ind w:left="1134"/>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rsidR="005963E7" w:rsidRPr="00EC00AB" w:rsidRDefault="005963E7" w:rsidP="005963E7">
      <w:pPr>
        <w:spacing w:before="240"/>
        <w:ind w:left="1134" w:hanging="1134"/>
        <w:jc w:val="both"/>
        <w:rPr>
          <w:rFonts w:ascii="Times New Roman" w:hAnsi="Times New Roman"/>
          <w:b/>
          <w:sz w:val="24"/>
          <w:szCs w:val="24"/>
        </w:rPr>
      </w:pPr>
      <w:bookmarkStart w:id="23"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3"/>
      <w:r w:rsidRPr="003D6B6C">
        <w:rPr>
          <w:rFonts w:ascii="Times New Roman" w:hAnsi="Times New Roman"/>
          <w:b/>
          <w:sz w:val="24"/>
          <w:szCs w:val="24"/>
        </w:rPr>
        <w:t xml:space="preserve"> obligations</w:t>
      </w:r>
    </w:p>
    <w:p w:rsidR="00DF7EE0" w:rsidRPr="003D6B6C" w:rsidRDefault="005963E7" w:rsidP="005963E7">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Pr="000E09F5">
        <w:rPr>
          <w:rFonts w:ascii="Times New Roman" w:hAnsi="Times New Roman"/>
          <w:sz w:val="22"/>
          <w:szCs w:val="22"/>
        </w:rPr>
        <w:t>one year</w:t>
      </w:r>
      <w:r w:rsidRPr="003D6B6C">
        <w:rPr>
          <w:rFonts w:ascii="Times New Roman" w:hAnsi="Times New Roman"/>
          <w:sz w:val="22"/>
          <w:szCs w:val="22"/>
        </w:rPr>
        <w:t>after provisional acceptance.</w:t>
      </w:r>
    </w:p>
    <w:p w:rsidR="0047783A" w:rsidRPr="003D6B6C" w:rsidRDefault="0047783A" w:rsidP="00B34179">
      <w:pPr>
        <w:spacing w:before="240"/>
        <w:ind w:left="1134" w:hanging="1134"/>
        <w:jc w:val="both"/>
        <w:rPr>
          <w:rFonts w:ascii="Times New Roman" w:hAnsi="Times New Roman"/>
          <w:b/>
          <w:sz w:val="24"/>
          <w:szCs w:val="24"/>
        </w:rPr>
      </w:pPr>
      <w:bookmarkStart w:id="24" w:name="_Toc119839451"/>
      <w:bookmarkStart w:id="25"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4"/>
      <w:bookmarkEnd w:id="25"/>
    </w:p>
    <w:p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5963E7" w:rsidRPr="005414D4">
        <w:rPr>
          <w:rFonts w:ascii="Times New Roman" w:hAnsi="Times New Roman"/>
          <w:sz w:val="22"/>
          <w:szCs w:val="22"/>
        </w:rPr>
        <w:t>The Contractor is obliged to submit with the list of authorized services. The bidder is obliged to pay at his own expense within the warranty period eliminate all defects and defects that are the subject of the warranty.</w:t>
      </w:r>
    </w:p>
    <w:p w:rsidR="0047783A" w:rsidRPr="003D6B6C" w:rsidRDefault="0047783A" w:rsidP="00B34179">
      <w:pPr>
        <w:spacing w:before="240"/>
        <w:ind w:left="1134" w:hanging="1134"/>
        <w:jc w:val="both"/>
        <w:rPr>
          <w:rFonts w:ascii="Times New Roman" w:hAnsi="Times New Roman"/>
          <w:b/>
          <w:sz w:val="24"/>
          <w:szCs w:val="24"/>
        </w:rPr>
      </w:pPr>
      <w:bookmarkStart w:id="26"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6"/>
    </w:p>
    <w:p w:rsidR="00407C90" w:rsidRPr="003D6B6C" w:rsidRDefault="0047783A" w:rsidP="005A6257">
      <w:pPr>
        <w:spacing w:before="0"/>
        <w:ind w:left="1134" w:hanging="708"/>
        <w:jc w:val="both"/>
        <w:rPr>
          <w:rFonts w:ascii="Times New Roman" w:hAnsi="Times New Roman"/>
          <w:sz w:val="22"/>
          <w:szCs w:val="22"/>
          <w:highlight w:val="yellow"/>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5A6257" w:rsidRPr="000E09F5">
        <w:rPr>
          <w:rFonts w:ascii="Times New Roman" w:hAnsi="Times New Roman"/>
          <w:sz w:val="22"/>
          <w:szCs w:val="22"/>
        </w:rPr>
        <w:t xml:space="preserve">Any disputes arising out of or relating to this contract which cannot be settled otherwise shall be referred to the exclusive jurisdiction of </w:t>
      </w:r>
      <w:r w:rsidR="005A6257" w:rsidRPr="000E09F5">
        <w:rPr>
          <w:rFonts w:ascii="Times New Roman" w:hAnsi="Times New Roman"/>
          <w:sz w:val="22"/>
          <w:szCs w:val="22"/>
          <w:lang w:bidi="kn-IN"/>
        </w:rPr>
        <w:t xml:space="preserve">Court of law in </w:t>
      </w:r>
      <w:r w:rsidR="005A6257">
        <w:rPr>
          <w:rFonts w:ascii="Times New Roman" w:hAnsi="Times New Roman"/>
          <w:sz w:val="22"/>
          <w:szCs w:val="22"/>
          <w:lang w:bidi="kn-IN"/>
        </w:rPr>
        <w:t>Kavadarci</w:t>
      </w:r>
      <w:r w:rsidR="005A6257" w:rsidRPr="000E09F5">
        <w:rPr>
          <w:rFonts w:ascii="Times New Roman" w:hAnsi="Times New Roman"/>
          <w:sz w:val="22"/>
          <w:szCs w:val="22"/>
        </w:rPr>
        <w:t>in accordance with the national legislation of the state of the contracting authority.</w:t>
      </w:r>
    </w:p>
    <w:p w:rsidR="00407C90" w:rsidRDefault="00407C90" w:rsidP="00B5440B">
      <w:pPr>
        <w:keepNext/>
        <w:keepLines/>
        <w:tabs>
          <w:tab w:val="left" w:pos="1134"/>
        </w:tabs>
        <w:spacing w:before="240" w:after="0"/>
        <w:ind w:left="1134" w:hanging="1134"/>
        <w:rPr>
          <w:rFonts w:ascii="Times New Roman" w:hAnsi="Times New Roman"/>
          <w:b/>
          <w:sz w:val="24"/>
          <w:szCs w:val="24"/>
          <w:highlight w:val="lightGray"/>
        </w:rPr>
      </w:pPr>
      <w:r w:rsidRPr="005A6257">
        <w:rPr>
          <w:rFonts w:ascii="Times New Roman" w:hAnsi="Times New Roman"/>
          <w:b/>
          <w:sz w:val="24"/>
          <w:szCs w:val="24"/>
        </w:rPr>
        <w:t>Article 44</w:t>
      </w:r>
      <w:r w:rsidRPr="005A6257">
        <w:rPr>
          <w:rFonts w:ascii="Times New Roman" w:hAnsi="Times New Roman"/>
          <w:b/>
          <w:sz w:val="24"/>
          <w:szCs w:val="24"/>
        </w:rPr>
        <w:tab/>
        <w:t xml:space="preserve">Data </w:t>
      </w:r>
      <w:r w:rsidR="00686E07" w:rsidRPr="005A6257">
        <w:rPr>
          <w:rFonts w:ascii="Times New Roman" w:hAnsi="Times New Roman"/>
          <w:b/>
          <w:sz w:val="24"/>
          <w:szCs w:val="24"/>
        </w:rPr>
        <w:t>p</w:t>
      </w:r>
      <w:r w:rsidRPr="005A6257">
        <w:rPr>
          <w:rFonts w:ascii="Times New Roman" w:hAnsi="Times New Roman"/>
          <w:b/>
          <w:sz w:val="24"/>
          <w:szCs w:val="24"/>
        </w:rPr>
        <w:t>rotection</w:t>
      </w:r>
    </w:p>
    <w:p w:rsidR="005A6257" w:rsidRPr="00EC00AB" w:rsidRDefault="005A6257" w:rsidP="005A6257">
      <w:pPr>
        <w:jc w:val="both"/>
        <w:rPr>
          <w:rFonts w:ascii="Times New Roman" w:hAnsi="Times New Roman"/>
          <w:sz w:val="22"/>
          <w:szCs w:val="22"/>
        </w:rPr>
      </w:pPr>
      <w:r w:rsidRPr="00EC00AB">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672AC4" w:rsidRDefault="005A6257" w:rsidP="00672AC4">
      <w:pPr>
        <w:jc w:val="both"/>
        <w:rPr>
          <w:rFonts w:ascii="Times New Roman" w:hAnsi="Times New Roman"/>
          <w:sz w:val="22"/>
          <w:szCs w:val="22"/>
        </w:rPr>
      </w:pPr>
      <w:r w:rsidRPr="00EC00AB">
        <w:rPr>
          <w:rFonts w:ascii="Times New Roman" w:hAnsi="Times New Roman"/>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EC00AB">
        <w:rPr>
          <w:rStyle w:val="FootnoteReference"/>
          <w:rFonts w:ascii="Times New Roman" w:hAnsi="Times New Roman"/>
          <w:sz w:val="22"/>
          <w:szCs w:val="22"/>
        </w:rPr>
        <w:footnoteReference w:id="5"/>
      </w:r>
      <w:r w:rsidRPr="00EC00AB">
        <w:rPr>
          <w:rFonts w:ascii="Times New Roman" w:hAnsi="Times New Roman"/>
          <w:sz w:val="22"/>
          <w:szCs w:val="22"/>
        </w:rPr>
        <w:t xml:space="preserve"> and as detailed in the specific privacy statement published at ePRAG.</w:t>
      </w:r>
    </w:p>
    <w:p w:rsidR="001B55AC" w:rsidRPr="00672AC4" w:rsidRDefault="005A6257" w:rsidP="00672AC4">
      <w:pPr>
        <w:spacing w:before="0" w:after="0"/>
        <w:jc w:val="center"/>
        <w:rPr>
          <w:rFonts w:ascii="Times New Roman" w:hAnsi="Times New Roman"/>
          <w:sz w:val="22"/>
          <w:szCs w:val="22"/>
          <w:u w:val="single"/>
        </w:rPr>
      </w:pPr>
      <w:r w:rsidRPr="003D6B6C">
        <w:rPr>
          <w:sz w:val="22"/>
          <w:szCs w:val="22"/>
        </w:rPr>
        <w:t>* * *</w:t>
      </w:r>
    </w:p>
    <w:sectPr w:rsidR="001B55AC" w:rsidRPr="00672AC4" w:rsidSect="00B544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15C" w:rsidRPr="006A5F84" w:rsidRDefault="00F8115C">
      <w:r w:rsidRPr="006A5F84">
        <w:separator/>
      </w:r>
    </w:p>
  </w:endnote>
  <w:endnote w:type="continuationSeparator" w:id="1">
    <w:p w:rsidR="00F8115C" w:rsidRPr="006A5F84" w:rsidRDefault="00F8115C">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Default="002314C9" w:rsidP="0047783A">
    <w:pPr>
      <w:pStyle w:val="Footer"/>
      <w:framePr w:wrap="around" w:vAnchor="text" w:hAnchor="margin" w:xAlign="right" w:y="1"/>
      <w:rPr>
        <w:rStyle w:val="PageNumber"/>
      </w:rPr>
    </w:pPr>
    <w:r>
      <w:rPr>
        <w:rStyle w:val="PageNumber"/>
      </w:rPr>
      <w:fldChar w:fldCharType="begin"/>
    </w:r>
    <w:r w:rsidR="00117ADA">
      <w:rPr>
        <w:rStyle w:val="PageNumber"/>
      </w:rPr>
      <w:instrText xml:space="preserve">PAGE  </w:instrText>
    </w:r>
    <w:r>
      <w:rPr>
        <w:rStyle w:val="PageNumber"/>
      </w:rPr>
      <w:fldChar w:fldCharType="separate"/>
    </w:r>
    <w:r w:rsidR="00117ADA">
      <w:rPr>
        <w:rStyle w:val="PageNumber"/>
        <w:noProof/>
      </w:rPr>
      <w:t>2</w:t>
    </w:r>
    <w:r>
      <w:rPr>
        <w:rStyle w:val="PageNumber"/>
      </w:rPr>
      <w:fldChar w:fldCharType="end"/>
    </w:r>
  </w:p>
  <w:p w:rsidR="00117ADA" w:rsidRDefault="00117ADA"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2314C9"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2314C9" w:rsidRPr="009423FB">
      <w:rPr>
        <w:rStyle w:val="PageNumber"/>
        <w:rFonts w:ascii="Times New Roman" w:hAnsi="Times New Roman"/>
        <w:sz w:val="18"/>
        <w:szCs w:val="18"/>
      </w:rPr>
      <w:fldChar w:fldCharType="separate"/>
    </w:r>
    <w:r w:rsidR="00301210">
      <w:rPr>
        <w:rStyle w:val="PageNumber"/>
        <w:rFonts w:ascii="Times New Roman" w:hAnsi="Times New Roman"/>
        <w:noProof/>
        <w:sz w:val="18"/>
        <w:szCs w:val="18"/>
        <w:lang w:val="en-GB"/>
      </w:rPr>
      <w:t>1</w:t>
    </w:r>
    <w:r w:rsidR="002314C9"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2314C9"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2314C9" w:rsidRPr="009423FB">
      <w:rPr>
        <w:rStyle w:val="PageNumber"/>
        <w:rFonts w:ascii="Times New Roman" w:hAnsi="Times New Roman"/>
        <w:sz w:val="18"/>
        <w:szCs w:val="18"/>
      </w:rPr>
      <w:fldChar w:fldCharType="separate"/>
    </w:r>
    <w:r w:rsidR="00301210">
      <w:rPr>
        <w:rStyle w:val="PageNumber"/>
        <w:rFonts w:ascii="Times New Roman" w:hAnsi="Times New Roman"/>
        <w:noProof/>
        <w:sz w:val="18"/>
        <w:szCs w:val="18"/>
        <w:lang w:val="en-GB"/>
      </w:rPr>
      <w:t>6</w:t>
    </w:r>
    <w:r w:rsidR="002314C9" w:rsidRPr="009423FB">
      <w:rPr>
        <w:rStyle w:val="PageNumber"/>
        <w:rFonts w:ascii="Times New Roman" w:hAnsi="Times New Roman"/>
        <w:sz w:val="18"/>
        <w:szCs w:val="18"/>
      </w:rPr>
      <w:fldChar w:fldCharType="end"/>
    </w:r>
  </w:p>
  <w:p w:rsidR="00117ADA" w:rsidRPr="007E36E3" w:rsidRDefault="002314C9" w:rsidP="008E007A">
    <w:pPr>
      <w:spacing w:before="0" w:after="0"/>
      <w:rPr>
        <w:rFonts w:ascii="Times New Roman" w:hAnsi="Times New Roman"/>
        <w:sz w:val="18"/>
        <w:szCs w:val="18"/>
      </w:rPr>
    </w:pPr>
    <w:fldSimple w:instr=" FILENAME   \* MERGEFORMAT ">
      <w:r w:rsidR="00301210" w:rsidRPr="00301210">
        <w:rPr>
          <w:rFonts w:ascii="Times New Roman" w:hAnsi="Times New Roman"/>
          <w:noProof/>
          <w:sz w:val="18"/>
          <w:szCs w:val="18"/>
        </w:rPr>
        <w:t>c4d_specialconditions_en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Pr="006A5F84" w:rsidRDefault="002314C9" w:rsidP="0047783A">
    <w:pPr>
      <w:pStyle w:val="Footer"/>
      <w:framePr w:wrap="around" w:vAnchor="text" w:hAnchor="margin" w:xAlign="right" w:y="1"/>
      <w:rPr>
        <w:rStyle w:val="PageNumber"/>
      </w:rPr>
    </w:pPr>
    <w:r w:rsidRPr="006A5F84">
      <w:rPr>
        <w:rStyle w:val="PageNumber"/>
      </w:rPr>
      <w:fldChar w:fldCharType="begin"/>
    </w:r>
    <w:r w:rsidR="00117ADA" w:rsidRPr="006A5F84">
      <w:rPr>
        <w:rStyle w:val="PageNumber"/>
      </w:rPr>
      <w:instrText xml:space="preserve">PAGE  </w:instrText>
    </w:r>
    <w:r w:rsidRPr="006A5F84">
      <w:rPr>
        <w:rStyle w:val="PageNumber"/>
      </w:rPr>
      <w:fldChar w:fldCharType="separate"/>
    </w:r>
    <w:r w:rsidR="00117ADA" w:rsidRPr="006A5F84">
      <w:rPr>
        <w:rStyle w:val="PageNumber"/>
      </w:rPr>
      <w:t>1</w:t>
    </w:r>
    <w:r w:rsidRPr="006A5F84">
      <w:rPr>
        <w:rStyle w:val="PageNumber"/>
      </w:rPr>
      <w:fldChar w:fldCharType="end"/>
    </w:r>
  </w:p>
  <w:p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15C" w:rsidRPr="006A5F84" w:rsidRDefault="00F8115C">
      <w:r w:rsidRPr="006A5F84">
        <w:separator/>
      </w:r>
    </w:p>
  </w:footnote>
  <w:footnote w:type="continuationSeparator" w:id="1">
    <w:p w:rsidR="00F8115C" w:rsidRPr="006A5F84" w:rsidRDefault="00F8115C">
      <w:r w:rsidRPr="006A5F84">
        <w:continuationSeparator/>
      </w:r>
    </w:p>
  </w:footnote>
  <w:footnote w:id="2">
    <w:p w:rsidR="00297C14" w:rsidRPr="00B5440B" w:rsidRDefault="00297C14" w:rsidP="009D0375">
      <w:pPr>
        <w:pStyle w:val="FootnoteText"/>
        <w:rPr>
          <w:lang w:val="en-IE"/>
        </w:rPr>
      </w:pPr>
      <w:r w:rsidRPr="0011156A">
        <w:rPr>
          <w:rStyle w:val="FootnoteReference"/>
        </w:rPr>
        <w:footnoteRef/>
      </w:r>
      <w:r w:rsidRPr="00B5440B">
        <w:rPr>
          <w:lang w:val="en-IE"/>
        </w:rPr>
        <w:t xml:space="preserve"> Idem.</w:t>
      </w:r>
    </w:p>
  </w:footnote>
  <w:footnote w:id="3">
    <w:p w:rsidR="005963E7" w:rsidRPr="009F7E6A" w:rsidRDefault="005963E7" w:rsidP="005963E7">
      <w:pPr>
        <w:pStyle w:val="FootnoteText"/>
        <w:rPr>
          <w:highlight w:val="yellow"/>
          <w:lang w:val="en-GB"/>
        </w:rPr>
      </w:pPr>
    </w:p>
  </w:footnote>
  <w:footnote w:id="4">
    <w:p w:rsidR="00BD1517" w:rsidRPr="00B5440B" w:rsidRDefault="00BD1517" w:rsidP="009D0375">
      <w:pPr>
        <w:pStyle w:val="FootnoteText"/>
        <w:rPr>
          <w:lang w:val="en-IE"/>
        </w:rPr>
      </w:pPr>
      <w:r w:rsidRPr="009B30FB">
        <w:rPr>
          <w:rStyle w:val="FootnoteReference"/>
        </w:rPr>
        <w:footnoteRef/>
      </w:r>
      <w:r w:rsidR="009D0375" w:rsidRPr="00B5440B">
        <w:rPr>
          <w:lang w:val="en-IE"/>
        </w:rPr>
        <w:tab/>
      </w:r>
      <w:r w:rsidRPr="005963E7">
        <w:rPr>
          <w:lang w:val="en-IE"/>
        </w:rPr>
        <w:t>DAP (Delivered At Place)</w:t>
      </w:r>
      <w:r w:rsidRPr="00B5440B">
        <w:rPr>
          <w:lang w:val="en-IE"/>
        </w:rPr>
        <w:t xml:space="preserve">- Incoterms 2020 International Chamber of Commerce - </w:t>
      </w:r>
      <w:hyperlink r:id="rId1" w:history="1">
        <w:r w:rsidRPr="001E08E3">
          <w:rPr>
            <w:rStyle w:val="Hyperlink"/>
            <w:lang w:val="en-GB"/>
          </w:rPr>
          <w:t>http://www.iccwbo.org/incoterms/</w:t>
        </w:r>
      </w:hyperlink>
    </w:p>
  </w:footnote>
  <w:footnote w:id="5">
    <w:p w:rsidR="005A6257" w:rsidRDefault="005A6257" w:rsidP="005A6257">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D4888"/>
    <w:multiLevelType w:val="multilevel"/>
    <w:tmpl w:val="8A3E08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1819ED"/>
    <w:multiLevelType w:val="hybridMultilevel"/>
    <w:tmpl w:val="9EEA0662"/>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148A75DA">
      <w:numFmt w:val="bullet"/>
      <w:lvlText w:val="-"/>
      <w:lvlJc w:val="left"/>
      <w:pPr>
        <w:ind w:left="2160" w:hanging="360"/>
      </w:pPr>
      <w:rPr>
        <w:rFonts w:ascii="Times New Roman" w:eastAsia="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CA0AE2"/>
    <w:multiLevelType w:val="hybridMultilevel"/>
    <w:tmpl w:val="64627DA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6D7F23"/>
    <w:multiLevelType w:val="hybridMultilevel"/>
    <w:tmpl w:val="591A917A"/>
    <w:lvl w:ilvl="0" w:tplc="042F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2">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3">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2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4832137"/>
    <w:multiLevelType w:val="multilevel"/>
    <w:tmpl w:val="6EA0523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C517195"/>
    <w:multiLevelType w:val="hybridMultilevel"/>
    <w:tmpl w:val="45540D1C"/>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B42F78"/>
    <w:multiLevelType w:val="hybridMultilevel"/>
    <w:tmpl w:val="C4CEA7E0"/>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09561F9"/>
    <w:multiLevelType w:val="hybridMultilevel"/>
    <w:tmpl w:val="C64E4232"/>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3"/>
  </w:num>
  <w:num w:numId="3">
    <w:abstractNumId w:val="13"/>
  </w:num>
  <w:num w:numId="4">
    <w:abstractNumId w:val="16"/>
  </w:num>
  <w:num w:numId="5">
    <w:abstractNumId w:val="37"/>
  </w:num>
  <w:num w:numId="6">
    <w:abstractNumId w:val="11"/>
  </w:num>
  <w:num w:numId="7">
    <w:abstractNumId w:val="6"/>
  </w:num>
  <w:num w:numId="8">
    <w:abstractNumId w:val="1"/>
  </w:num>
  <w:num w:numId="9">
    <w:abstractNumId w:val="18"/>
  </w:num>
  <w:num w:numId="10">
    <w:abstractNumId w:val="5"/>
  </w:num>
  <w:num w:numId="11">
    <w:abstractNumId w:val="31"/>
  </w:num>
  <w:num w:numId="12">
    <w:abstractNumId w:val="15"/>
  </w:num>
  <w:num w:numId="13">
    <w:abstractNumId w:val="8"/>
  </w:num>
  <w:num w:numId="14">
    <w:abstractNumId w:val="28"/>
  </w:num>
  <w:num w:numId="15">
    <w:abstractNumId w:val="29"/>
  </w:num>
  <w:num w:numId="16">
    <w:abstractNumId w:val="10"/>
  </w:num>
  <w:num w:numId="17">
    <w:abstractNumId w:val="21"/>
  </w:num>
  <w:num w:numId="18">
    <w:abstractNumId w:val="12"/>
  </w:num>
  <w:num w:numId="19">
    <w:abstractNumId w:val="3"/>
  </w:num>
  <w:num w:numId="20">
    <w:abstractNumId w:val="32"/>
  </w:num>
  <w:num w:numId="21">
    <w:abstractNumId w:val="22"/>
  </w:num>
  <w:num w:numId="22">
    <w:abstractNumId w:val="20"/>
  </w:num>
  <w:num w:numId="23">
    <w:abstractNumId w:val="0"/>
  </w:num>
  <w:num w:numId="24">
    <w:abstractNumId w:val="30"/>
  </w:num>
  <w:num w:numId="25">
    <w:abstractNumId w:val="38"/>
  </w:num>
  <w:num w:numId="26">
    <w:abstractNumId w:val="23"/>
  </w:num>
  <w:num w:numId="27">
    <w:abstractNumId w:val="36"/>
  </w:num>
  <w:num w:numId="28">
    <w:abstractNumId w:val="35"/>
  </w:num>
  <w:num w:numId="29">
    <w:abstractNumId w:val="4"/>
  </w:num>
  <w:num w:numId="30">
    <w:abstractNumId w:val="2"/>
  </w:num>
  <w:num w:numId="31">
    <w:abstractNumId w:val="24"/>
  </w:num>
  <w:num w:numId="32">
    <w:abstractNumId w:val="9"/>
  </w:num>
  <w:num w:numId="33">
    <w:abstractNumId w:val="25"/>
  </w:num>
  <w:num w:numId="34">
    <w:abstractNumId w:val="27"/>
  </w:num>
  <w:num w:numId="35">
    <w:abstractNumId w:val="26"/>
  </w:num>
  <w:num w:numId="36">
    <w:abstractNumId w:val="19"/>
  </w:num>
  <w:num w:numId="37">
    <w:abstractNumId w:val="17"/>
  </w:num>
  <w:num w:numId="38">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2213"/>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23B1"/>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14C9"/>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01210"/>
    <w:rsid w:val="0031140C"/>
    <w:rsid w:val="00317D86"/>
    <w:rsid w:val="00322263"/>
    <w:rsid w:val="00324259"/>
    <w:rsid w:val="0032469B"/>
    <w:rsid w:val="003308C6"/>
    <w:rsid w:val="003316E3"/>
    <w:rsid w:val="0033212F"/>
    <w:rsid w:val="003323F5"/>
    <w:rsid w:val="003330F8"/>
    <w:rsid w:val="00335E06"/>
    <w:rsid w:val="0033700A"/>
    <w:rsid w:val="003409B8"/>
    <w:rsid w:val="00342475"/>
    <w:rsid w:val="003439C4"/>
    <w:rsid w:val="00345D44"/>
    <w:rsid w:val="00347B7E"/>
    <w:rsid w:val="003502E9"/>
    <w:rsid w:val="00351351"/>
    <w:rsid w:val="00360344"/>
    <w:rsid w:val="00360FF9"/>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3461"/>
    <w:rsid w:val="00445A75"/>
    <w:rsid w:val="004476EF"/>
    <w:rsid w:val="004520DC"/>
    <w:rsid w:val="0045310F"/>
    <w:rsid w:val="00454E0D"/>
    <w:rsid w:val="004554CB"/>
    <w:rsid w:val="0045678B"/>
    <w:rsid w:val="004607CD"/>
    <w:rsid w:val="004626B5"/>
    <w:rsid w:val="00462E5C"/>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3E7"/>
    <w:rsid w:val="005967B4"/>
    <w:rsid w:val="005A016E"/>
    <w:rsid w:val="005A123C"/>
    <w:rsid w:val="005A6257"/>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2AC4"/>
    <w:rsid w:val="00677500"/>
    <w:rsid w:val="0068247E"/>
    <w:rsid w:val="00683E34"/>
    <w:rsid w:val="00684801"/>
    <w:rsid w:val="006858D9"/>
    <w:rsid w:val="00686ACD"/>
    <w:rsid w:val="00686E07"/>
    <w:rsid w:val="006917B2"/>
    <w:rsid w:val="00692095"/>
    <w:rsid w:val="00695007"/>
    <w:rsid w:val="006A4775"/>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254E3"/>
    <w:rsid w:val="00727B2D"/>
    <w:rsid w:val="00733017"/>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0AC"/>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571BF"/>
    <w:rsid w:val="00A62073"/>
    <w:rsid w:val="00A63E3C"/>
    <w:rsid w:val="00A665A2"/>
    <w:rsid w:val="00A7016F"/>
    <w:rsid w:val="00A72BDB"/>
    <w:rsid w:val="00A72C82"/>
    <w:rsid w:val="00A75650"/>
    <w:rsid w:val="00A76A6E"/>
    <w:rsid w:val="00A812E9"/>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4052"/>
    <w:rsid w:val="00AF47CA"/>
    <w:rsid w:val="00B003F6"/>
    <w:rsid w:val="00B04A28"/>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368DE"/>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4A0D"/>
    <w:rsid w:val="00BC6222"/>
    <w:rsid w:val="00BC743F"/>
    <w:rsid w:val="00BD1306"/>
    <w:rsid w:val="00BD1517"/>
    <w:rsid w:val="00BD19BA"/>
    <w:rsid w:val="00BD201F"/>
    <w:rsid w:val="00BD2F43"/>
    <w:rsid w:val="00BD3371"/>
    <w:rsid w:val="00BD727C"/>
    <w:rsid w:val="00BD72C6"/>
    <w:rsid w:val="00BE3FDF"/>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08D4"/>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9D2"/>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4CFD"/>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5D82"/>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115C"/>
    <w:rsid w:val="00F838EB"/>
    <w:rsid w:val="00F86699"/>
    <w:rsid w:val="00F874CE"/>
    <w:rsid w:val="00F87ABC"/>
    <w:rsid w:val="00F87F88"/>
    <w:rsid w:val="00F90A9F"/>
    <w:rsid w:val="00F91DF6"/>
    <w:rsid w:val="00F94745"/>
    <w:rsid w:val="00F952A4"/>
    <w:rsid w:val="00F962E3"/>
    <w:rsid w:val="00FA3F66"/>
    <w:rsid w:val="00FA6827"/>
    <w:rsid w:val="00FB2706"/>
    <w:rsid w:val="00FB3374"/>
    <w:rsid w:val="00FB67DE"/>
    <w:rsid w:val="00FC6DE8"/>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0D9"/>
    <w:pPr>
      <w:spacing w:before="120" w:after="120"/>
    </w:pPr>
    <w:rPr>
      <w:rFonts w:ascii="Arial" w:hAnsi="Arial"/>
      <w:snapToGrid w:val="0"/>
      <w:lang w:val="en-GB" w:eastAsia="en-US"/>
    </w:rPr>
  </w:style>
  <w:style w:type="paragraph" w:styleId="Heading1">
    <w:name w:val="heading 1"/>
    <w:basedOn w:val="Normal"/>
    <w:next w:val="Normal"/>
    <w:link w:val="Heading1Char1"/>
    <w:qFormat/>
    <w:rsid w:val="00EF4CFD"/>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EF4CFD"/>
    <w:pPr>
      <w:keepNext/>
      <w:outlineLvl w:val="1"/>
    </w:pPr>
    <w:rPr>
      <w:lang w:val="fr-BE"/>
    </w:rPr>
  </w:style>
  <w:style w:type="paragraph" w:styleId="Heading3">
    <w:name w:val="heading 3"/>
    <w:basedOn w:val="Normal"/>
    <w:next w:val="Normal"/>
    <w:link w:val="Heading3Char"/>
    <w:qFormat/>
    <w:rsid w:val="00EF4CFD"/>
    <w:pPr>
      <w:keepNext/>
      <w:framePr w:hSpace="181" w:vSpace="181" w:wrap="auto" w:vAnchor="text" w:hAnchor="text" w:y="1"/>
      <w:outlineLvl w:val="2"/>
    </w:pPr>
  </w:style>
  <w:style w:type="paragraph" w:styleId="Heading4">
    <w:name w:val="heading 4"/>
    <w:basedOn w:val="Normal"/>
    <w:next w:val="Normal"/>
    <w:link w:val="Heading4Char"/>
    <w:qFormat/>
    <w:rsid w:val="00EF4CFD"/>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rsid w:val="00EF4CFD"/>
    <w:pPr>
      <w:numPr>
        <w:ilvl w:val="4"/>
        <w:numId w:val="2"/>
      </w:numPr>
      <w:spacing w:before="240" w:after="60"/>
      <w:outlineLvl w:val="4"/>
    </w:pPr>
    <w:rPr>
      <w:sz w:val="22"/>
      <w:lang w:val="sv-SE"/>
    </w:rPr>
  </w:style>
  <w:style w:type="paragraph" w:styleId="Heading6">
    <w:name w:val="heading 6"/>
    <w:basedOn w:val="Normal"/>
    <w:next w:val="Normal"/>
    <w:link w:val="Heading6Char"/>
    <w:qFormat/>
    <w:rsid w:val="00EF4CFD"/>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rsid w:val="00EF4CFD"/>
    <w:pPr>
      <w:numPr>
        <w:ilvl w:val="6"/>
        <w:numId w:val="2"/>
      </w:numPr>
      <w:spacing w:before="240" w:after="60"/>
      <w:outlineLvl w:val="6"/>
    </w:pPr>
    <w:rPr>
      <w:lang w:val="sv-SE"/>
    </w:rPr>
  </w:style>
  <w:style w:type="paragraph" w:styleId="Heading8">
    <w:name w:val="heading 8"/>
    <w:basedOn w:val="Normal"/>
    <w:next w:val="Normal"/>
    <w:link w:val="Heading8Char"/>
    <w:qFormat/>
    <w:rsid w:val="00EF4CFD"/>
    <w:pPr>
      <w:numPr>
        <w:ilvl w:val="7"/>
        <w:numId w:val="2"/>
      </w:numPr>
      <w:spacing w:before="240" w:after="60"/>
      <w:outlineLvl w:val="7"/>
    </w:pPr>
    <w:rPr>
      <w:i/>
      <w:lang w:val="sv-SE"/>
    </w:rPr>
  </w:style>
  <w:style w:type="paragraph" w:styleId="Heading9">
    <w:name w:val="heading 9"/>
    <w:basedOn w:val="Normal"/>
    <w:next w:val="Normal"/>
    <w:link w:val="Heading9Char"/>
    <w:qFormat/>
    <w:rsid w:val="00EF4CFD"/>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4CFD"/>
    <w:pPr>
      <w:jc w:val="center"/>
    </w:pPr>
    <w:rPr>
      <w:b/>
      <w:sz w:val="28"/>
      <w:lang w:val="fr-BE"/>
    </w:rPr>
  </w:style>
  <w:style w:type="paragraph" w:styleId="Subtitle">
    <w:name w:val="Subtitle"/>
    <w:basedOn w:val="Normal"/>
    <w:link w:val="SubtitleChar"/>
    <w:qFormat/>
    <w:rsid w:val="00EF4CFD"/>
    <w:pPr>
      <w:jc w:val="center"/>
    </w:pPr>
    <w:rPr>
      <w:b/>
      <w:sz w:val="28"/>
      <w:lang w:val="fr-BE"/>
    </w:rPr>
  </w:style>
  <w:style w:type="paragraph" w:styleId="BodyTextIndent">
    <w:name w:val="Body Text Indent"/>
    <w:basedOn w:val="Normal"/>
    <w:link w:val="BodyTextIndentChar"/>
    <w:rsid w:val="00EF4CFD"/>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sid w:val="00EF4CFD"/>
    <w:rPr>
      <w:lang w:val="sv-SE"/>
    </w:rPr>
  </w:style>
  <w:style w:type="paragraph" w:styleId="BodyTextIndent2">
    <w:name w:val="Body Text Indent 2"/>
    <w:basedOn w:val="Normal"/>
    <w:link w:val="BodyTextIndent2Char"/>
    <w:rsid w:val="00EF4CFD"/>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rsid w:val="00EF4CFD"/>
    <w:pPr>
      <w:tabs>
        <w:tab w:val="left" w:pos="1276"/>
      </w:tabs>
      <w:ind w:left="1276" w:hanging="425"/>
      <w:jc w:val="both"/>
    </w:pPr>
    <w:rPr>
      <w:sz w:val="24"/>
      <w:lang w:val="sv-SE"/>
    </w:rPr>
  </w:style>
  <w:style w:type="paragraph" w:customStyle="1" w:styleId="Text3">
    <w:name w:val="Text 3"/>
    <w:basedOn w:val="Normal"/>
    <w:rsid w:val="00EF4CFD"/>
    <w:pPr>
      <w:tabs>
        <w:tab w:val="left" w:pos="2302"/>
      </w:tabs>
      <w:spacing w:after="240"/>
      <w:ind w:left="1202"/>
      <w:jc w:val="both"/>
    </w:pPr>
    <w:rPr>
      <w:sz w:val="24"/>
    </w:rPr>
  </w:style>
  <w:style w:type="paragraph" w:styleId="Header">
    <w:name w:val="header"/>
    <w:basedOn w:val="Normal"/>
    <w:link w:val="HeaderChar"/>
    <w:rsid w:val="00EF4CFD"/>
    <w:pPr>
      <w:tabs>
        <w:tab w:val="center" w:pos="4320"/>
        <w:tab w:val="right" w:pos="8640"/>
      </w:tabs>
    </w:pPr>
    <w:rPr>
      <w:lang w:val="sv-SE"/>
    </w:rPr>
  </w:style>
  <w:style w:type="paragraph" w:styleId="Footer">
    <w:name w:val="footer"/>
    <w:basedOn w:val="Normal"/>
    <w:link w:val="FooterChar"/>
    <w:uiPriority w:val="99"/>
    <w:rsid w:val="00EF4CFD"/>
    <w:pPr>
      <w:tabs>
        <w:tab w:val="center" w:pos="4320"/>
        <w:tab w:val="right" w:pos="8640"/>
      </w:tabs>
    </w:pPr>
    <w:rPr>
      <w:lang w:val="sv-SE"/>
    </w:rPr>
  </w:style>
  <w:style w:type="character" w:styleId="PageNumber">
    <w:name w:val="page number"/>
    <w:basedOn w:val="DefaultParagraphFont"/>
    <w:rsid w:val="00EF4CFD"/>
  </w:style>
  <w:style w:type="paragraph" w:styleId="BodyText3">
    <w:name w:val="Body Text 3"/>
    <w:basedOn w:val="Normal"/>
    <w:link w:val="BodyText3Char"/>
    <w:rsid w:val="00EF4CFD"/>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EF4CFD"/>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EF4CFD"/>
    <w:rPr>
      <w:vertAlign w:val="superscript"/>
    </w:rPr>
  </w:style>
  <w:style w:type="paragraph" w:styleId="DocumentMap">
    <w:name w:val="Document Map"/>
    <w:basedOn w:val="Normal"/>
    <w:link w:val="DocumentMapChar"/>
    <w:semiHidden/>
    <w:rsid w:val="00EF4CFD"/>
    <w:pPr>
      <w:shd w:val="clear" w:color="auto" w:fill="000080"/>
    </w:pPr>
    <w:rPr>
      <w:sz w:val="24"/>
      <w:lang w:val="fr-FR"/>
    </w:rPr>
  </w:style>
  <w:style w:type="paragraph" w:customStyle="1" w:styleId="bulletsub">
    <w:name w:val="bullet_sub"/>
    <w:basedOn w:val="Normal"/>
    <w:rsid w:val="00EF4CF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F4CFD"/>
    <w:pPr>
      <w:spacing w:after="240"/>
      <w:jc w:val="center"/>
    </w:pPr>
    <w:rPr>
      <w:b/>
      <w:sz w:val="40"/>
    </w:rPr>
  </w:style>
  <w:style w:type="paragraph" w:customStyle="1" w:styleId="SubTitle2">
    <w:name w:val="SubTitle 2"/>
    <w:basedOn w:val="Normal"/>
    <w:rsid w:val="00EF4CFD"/>
    <w:pPr>
      <w:spacing w:after="240"/>
      <w:jc w:val="center"/>
    </w:pPr>
    <w:rPr>
      <w:b/>
      <w:sz w:val="32"/>
    </w:rPr>
  </w:style>
  <w:style w:type="paragraph" w:customStyle="1" w:styleId="Annexetitle">
    <w:name w:val="Annexe_title"/>
    <w:basedOn w:val="Heading1"/>
    <w:next w:val="Normal"/>
    <w:autoRedefine/>
    <w:rsid w:val="00EF4CFD"/>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EF4CFD"/>
    <w:pPr>
      <w:keepNext/>
      <w:widowControl w:val="0"/>
      <w:tabs>
        <w:tab w:val="num" w:pos="992"/>
      </w:tabs>
      <w:ind w:left="992" w:hanging="992"/>
    </w:pPr>
    <w:rPr>
      <w:b/>
      <w:sz w:val="18"/>
      <w:lang w:val="fr-FR"/>
    </w:rPr>
  </w:style>
  <w:style w:type="paragraph" w:customStyle="1" w:styleId="titlefront">
    <w:name w:val="title_front"/>
    <w:basedOn w:val="Normal"/>
    <w:rsid w:val="00EF4CFD"/>
    <w:pPr>
      <w:spacing w:before="240"/>
      <w:ind w:left="1701"/>
      <w:jc w:val="right"/>
    </w:pPr>
    <w:rPr>
      <w:rFonts w:ascii="Optima" w:hAnsi="Optima"/>
      <w:b/>
      <w:sz w:val="28"/>
    </w:rPr>
  </w:style>
  <w:style w:type="paragraph" w:styleId="TOC1">
    <w:name w:val="toc 1"/>
    <w:basedOn w:val="Normal"/>
    <w:next w:val="Normal"/>
    <w:autoRedefine/>
    <w:semiHidden/>
    <w:rsid w:val="00EF4CFD"/>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F4CFD"/>
    <w:pPr>
      <w:spacing w:before="0" w:after="0"/>
      <w:ind w:left="200"/>
    </w:pPr>
    <w:rPr>
      <w:rFonts w:ascii="Times New Roman" w:hAnsi="Times New Roman"/>
      <w:smallCaps/>
    </w:rPr>
  </w:style>
  <w:style w:type="character" w:styleId="Strong">
    <w:name w:val="Strong"/>
    <w:uiPriority w:val="22"/>
    <w:qFormat/>
    <w:rsid w:val="00EF4CFD"/>
    <w:rPr>
      <w:b/>
    </w:rPr>
  </w:style>
  <w:style w:type="paragraph" w:customStyle="1" w:styleId="Blockquote">
    <w:name w:val="Blockquote"/>
    <w:basedOn w:val="Normal"/>
    <w:rsid w:val="00EF4CFD"/>
    <w:pPr>
      <w:widowControl w:val="0"/>
      <w:spacing w:before="100" w:after="100"/>
      <w:ind w:left="360" w:right="360"/>
    </w:pPr>
    <w:rPr>
      <w:sz w:val="24"/>
      <w:lang w:val="en-US"/>
    </w:rPr>
  </w:style>
  <w:style w:type="paragraph" w:styleId="TOC3">
    <w:name w:val="toc 3"/>
    <w:basedOn w:val="Normal"/>
    <w:next w:val="Normal"/>
    <w:autoRedefine/>
    <w:semiHidden/>
    <w:rsid w:val="00EF4CFD"/>
    <w:pPr>
      <w:spacing w:before="0" w:after="0"/>
      <w:ind w:left="400"/>
    </w:pPr>
    <w:rPr>
      <w:rFonts w:ascii="Times New Roman" w:hAnsi="Times New Roman"/>
      <w:i/>
    </w:rPr>
  </w:style>
  <w:style w:type="paragraph" w:styleId="TOC4">
    <w:name w:val="toc 4"/>
    <w:basedOn w:val="Normal"/>
    <w:next w:val="Normal"/>
    <w:autoRedefine/>
    <w:semiHidden/>
    <w:rsid w:val="00EF4CFD"/>
    <w:pPr>
      <w:spacing w:before="0" w:after="0"/>
      <w:ind w:left="600"/>
    </w:pPr>
    <w:rPr>
      <w:rFonts w:ascii="Times New Roman" w:hAnsi="Times New Roman"/>
      <w:sz w:val="18"/>
    </w:rPr>
  </w:style>
  <w:style w:type="paragraph" w:styleId="TOC5">
    <w:name w:val="toc 5"/>
    <w:basedOn w:val="Normal"/>
    <w:next w:val="Normal"/>
    <w:autoRedefine/>
    <w:semiHidden/>
    <w:rsid w:val="00EF4CFD"/>
    <w:pPr>
      <w:spacing w:before="0" w:after="0"/>
      <w:ind w:left="800"/>
    </w:pPr>
    <w:rPr>
      <w:rFonts w:ascii="Times New Roman" w:hAnsi="Times New Roman"/>
      <w:sz w:val="18"/>
    </w:rPr>
  </w:style>
  <w:style w:type="paragraph" w:styleId="TOC6">
    <w:name w:val="toc 6"/>
    <w:basedOn w:val="Normal"/>
    <w:next w:val="Normal"/>
    <w:autoRedefine/>
    <w:semiHidden/>
    <w:rsid w:val="00EF4CFD"/>
    <w:pPr>
      <w:spacing w:before="0" w:after="0"/>
      <w:ind w:left="1000"/>
    </w:pPr>
    <w:rPr>
      <w:rFonts w:ascii="Times New Roman" w:hAnsi="Times New Roman"/>
      <w:sz w:val="18"/>
    </w:rPr>
  </w:style>
  <w:style w:type="paragraph" w:styleId="TOC7">
    <w:name w:val="toc 7"/>
    <w:basedOn w:val="Normal"/>
    <w:next w:val="Normal"/>
    <w:autoRedefine/>
    <w:semiHidden/>
    <w:rsid w:val="00EF4CFD"/>
    <w:pPr>
      <w:spacing w:before="0" w:after="0"/>
      <w:ind w:left="1200"/>
    </w:pPr>
    <w:rPr>
      <w:rFonts w:ascii="Times New Roman" w:hAnsi="Times New Roman"/>
      <w:sz w:val="18"/>
    </w:rPr>
  </w:style>
  <w:style w:type="paragraph" w:styleId="TOC8">
    <w:name w:val="toc 8"/>
    <w:basedOn w:val="Normal"/>
    <w:next w:val="Normal"/>
    <w:autoRedefine/>
    <w:semiHidden/>
    <w:rsid w:val="00EF4CFD"/>
    <w:pPr>
      <w:spacing w:before="0" w:after="0"/>
      <w:ind w:left="1400"/>
    </w:pPr>
    <w:rPr>
      <w:rFonts w:ascii="Times New Roman" w:hAnsi="Times New Roman"/>
      <w:sz w:val="18"/>
    </w:rPr>
  </w:style>
  <w:style w:type="paragraph" w:styleId="TOC9">
    <w:name w:val="toc 9"/>
    <w:basedOn w:val="Normal"/>
    <w:next w:val="Normal"/>
    <w:autoRedefine/>
    <w:semiHidden/>
    <w:rsid w:val="00EF4CFD"/>
    <w:pPr>
      <w:spacing w:before="0" w:after="0"/>
      <w:ind w:left="1600"/>
    </w:pPr>
    <w:rPr>
      <w:rFonts w:ascii="Times New Roman" w:hAnsi="Times New Roman"/>
      <w:sz w:val="18"/>
    </w:rPr>
  </w:style>
  <w:style w:type="character" w:styleId="FollowedHyperlink">
    <w:name w:val="FollowedHyperlink"/>
    <w:rsid w:val="00EF4CFD"/>
    <w:rPr>
      <w:color w:val="800080"/>
      <w:u w:val="single"/>
    </w:rPr>
  </w:style>
  <w:style w:type="paragraph" w:customStyle="1" w:styleId="Style2">
    <w:name w:val="Style2"/>
    <w:basedOn w:val="Style1"/>
    <w:rsid w:val="00EF4CFD"/>
    <w:pPr>
      <w:tabs>
        <w:tab w:val="clear" w:pos="992"/>
        <w:tab w:val="num" w:pos="2091"/>
      </w:tabs>
      <w:ind w:left="2977"/>
      <w:jc w:val="both"/>
    </w:pPr>
  </w:style>
  <w:style w:type="paragraph" w:customStyle="1" w:styleId="text">
    <w:name w:val="text"/>
    <w:rsid w:val="00EF4CFD"/>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F4CFD"/>
    <w:pPr>
      <w:widowControl w:val="0"/>
      <w:spacing w:before="0" w:after="0" w:line="360" w:lineRule="exact"/>
      <w:jc w:val="center"/>
    </w:pPr>
    <w:rPr>
      <w:b/>
      <w:sz w:val="32"/>
      <w:lang w:val="cs-CZ"/>
    </w:rPr>
  </w:style>
  <w:style w:type="paragraph" w:customStyle="1" w:styleId="ManualNumPar1">
    <w:name w:val="Manual NumPar 1"/>
    <w:basedOn w:val="Normal"/>
    <w:next w:val="Normal"/>
    <w:rsid w:val="00EF4CFD"/>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2">
    <w:name w:val="Unresolved Mention2"/>
    <w:uiPriority w:val="99"/>
    <w:semiHidden/>
    <w:unhideWhenUsed/>
    <w:rsid w:val="006A601D"/>
    <w:rPr>
      <w:color w:val="605E5C"/>
      <w:shd w:val="clear" w:color="auto" w:fill="E1DFDD"/>
    </w:rPr>
  </w:style>
  <w:style w:type="paragraph" w:styleId="NormalWeb">
    <w:name w:val="Normal (Web)"/>
    <w:basedOn w:val="Normal"/>
    <w:uiPriority w:val="99"/>
    <w:unhideWhenUsed/>
    <w:rsid w:val="00A571BF"/>
    <w:pPr>
      <w:spacing w:before="100" w:beforeAutospacing="1" w:after="100" w:afterAutospacing="1"/>
    </w:pPr>
    <w:rPr>
      <w:rFonts w:ascii="Times New Roman" w:hAnsi="Times New Roman"/>
      <w:snapToGrid/>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12783</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125</cp:revision>
  <cp:lastPrinted>2026-05-18T12:33:00Z</cp:lastPrinted>
  <dcterms:created xsi:type="dcterms:W3CDTF">2018-12-18T11:40:00Z</dcterms:created>
  <dcterms:modified xsi:type="dcterms:W3CDTF">2026-05-18T12:34:00Z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