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FE" w:rsidRPr="002B370E" w:rsidRDefault="003436FE">
      <w:pPr>
        <w:pStyle w:val="Subtitle"/>
        <w:spacing w:after="240"/>
        <w:rPr>
          <w:lang w:val="en-GB"/>
        </w:rPr>
      </w:pPr>
      <w:r w:rsidRPr="002B370E">
        <w:rPr>
          <w:lang w:val="en-GB"/>
        </w:rPr>
        <w:t xml:space="preserve">REFERENCE: </w:t>
      </w:r>
      <w:r w:rsidR="00C11763">
        <w:rPr>
          <w:szCs w:val="22"/>
        </w:rPr>
        <w:t>IPA ADRION 368/ No.</w:t>
      </w:r>
      <w:r w:rsidR="00C11763" w:rsidRPr="00526D5E">
        <w:rPr>
          <w:szCs w:val="22"/>
        </w:rPr>
        <w:t xml:space="preserve">1 </w:t>
      </w:r>
      <w:r w:rsidR="00C11763">
        <w:rPr>
          <w:b w:val="0"/>
          <w:szCs w:val="22"/>
        </w:rPr>
        <w:t xml:space="preserve"> </w:t>
      </w:r>
      <w:r w:rsidR="00C11763" w:rsidRPr="00C11763">
        <w:rPr>
          <w:szCs w:val="22"/>
        </w:rPr>
        <w:t>(No</w:t>
      </w:r>
      <w:r w:rsidR="00C11763">
        <w:rPr>
          <w:b w:val="0"/>
          <w:szCs w:val="22"/>
        </w:rPr>
        <w:t>.</w:t>
      </w:r>
      <w:r w:rsidR="00C11763">
        <w:rPr>
          <w:szCs w:val="22"/>
        </w:rPr>
        <w:t>05-966/2</w:t>
      </w:r>
      <w:r w:rsidR="00C11763">
        <w:rPr>
          <w:b w:val="0"/>
          <w:szCs w:val="22"/>
        </w:rPr>
        <w:t>)</w:t>
      </w:r>
    </w:p>
    <w:p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11" w:history="1">
        <w:r w:rsidR="00996707" w:rsidRPr="005D1583">
          <w:rPr>
            <w:rStyle w:val="Hyperlink"/>
            <w:sz w:val="22"/>
            <w:szCs w:val="22"/>
            <w:lang w:val="en-GB"/>
          </w:rPr>
          <w:t>http://ec.europa.eu/europeaid/prag/document.do</w:t>
        </w:r>
      </w:hyperlink>
      <w:r w:rsidRPr="002B370E">
        <w:rPr>
          <w:sz w:val="22"/>
          <w:szCs w:val="22"/>
          <w:lang w:val="en-GB"/>
        </w:rPr>
        <w:t xml:space="preserve">). </w:t>
      </w:r>
    </w:p>
    <w:p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3436FE" w:rsidRPr="002B370E" w:rsidTr="00010683">
        <w:tc>
          <w:tcPr>
            <w:tcW w:w="4820" w:type="dxa"/>
            <w:tcBorders>
              <w:bottom w:val="nil"/>
            </w:tcBorders>
          </w:tcPr>
          <w:p w:rsidR="003436FE" w:rsidRPr="002B370E" w:rsidRDefault="003436FE">
            <w:pPr>
              <w:rPr>
                <w:sz w:val="22"/>
                <w:szCs w:val="22"/>
              </w:rPr>
            </w:pPr>
          </w:p>
        </w:tc>
        <w:tc>
          <w:tcPr>
            <w:tcW w:w="1972" w:type="dxa"/>
            <w:shd w:val="pct10" w:color="auto" w:fill="FFFFFF"/>
          </w:tcPr>
          <w:p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rsidR="003436FE" w:rsidRPr="002B370E" w:rsidRDefault="003436FE">
            <w:pPr>
              <w:jc w:val="center"/>
              <w:rPr>
                <w:b/>
                <w:sz w:val="22"/>
                <w:szCs w:val="22"/>
              </w:rPr>
            </w:pPr>
            <w:r w:rsidRPr="002B370E">
              <w:rPr>
                <w:b/>
                <w:sz w:val="22"/>
                <w:szCs w:val="22"/>
              </w:rPr>
              <w:t>TIME*</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rsidR="003436FE" w:rsidRPr="002B370E" w:rsidRDefault="004C100C" w:rsidP="00707FA2">
            <w:pPr>
              <w:spacing w:before="120" w:after="120"/>
              <w:jc w:val="center"/>
              <w:rPr>
                <w:sz w:val="22"/>
                <w:szCs w:val="22"/>
              </w:rPr>
            </w:pPr>
            <w:r>
              <w:rPr>
                <w:sz w:val="22"/>
                <w:szCs w:val="22"/>
              </w:rPr>
              <w:t>20</w:t>
            </w:r>
            <w:r w:rsidR="002231C0">
              <w:rPr>
                <w:sz w:val="22"/>
                <w:szCs w:val="22"/>
              </w:rPr>
              <w:t>.</w:t>
            </w:r>
            <w:r>
              <w:rPr>
                <w:sz w:val="22"/>
                <w:szCs w:val="22"/>
              </w:rPr>
              <w:t>11</w:t>
            </w:r>
            <w:r w:rsidR="002231C0">
              <w:rPr>
                <w:sz w:val="22"/>
                <w:szCs w:val="22"/>
              </w:rPr>
              <w:t>.2024</w:t>
            </w:r>
          </w:p>
        </w:tc>
        <w:tc>
          <w:tcPr>
            <w:tcW w:w="1572" w:type="dxa"/>
          </w:tcPr>
          <w:p w:rsidR="003436FE" w:rsidRPr="002B370E" w:rsidRDefault="002231C0">
            <w:pPr>
              <w:spacing w:before="120" w:after="120"/>
              <w:jc w:val="center"/>
              <w:rPr>
                <w:sz w:val="22"/>
                <w:szCs w:val="22"/>
              </w:rPr>
            </w:pPr>
            <w:r>
              <w:rPr>
                <w:sz w:val="22"/>
                <w:szCs w:val="22"/>
              </w:rPr>
              <w:t>16.00</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rsidR="003436FE" w:rsidRPr="002B370E" w:rsidRDefault="004C100C" w:rsidP="00707FA2">
            <w:pPr>
              <w:spacing w:before="120" w:after="120"/>
              <w:jc w:val="center"/>
              <w:rPr>
                <w:sz w:val="22"/>
                <w:szCs w:val="22"/>
              </w:rPr>
            </w:pPr>
            <w:r>
              <w:rPr>
                <w:sz w:val="22"/>
                <w:szCs w:val="22"/>
              </w:rPr>
              <w:t>25</w:t>
            </w:r>
            <w:r w:rsidR="002231C0">
              <w:rPr>
                <w:sz w:val="22"/>
                <w:szCs w:val="22"/>
              </w:rPr>
              <w:t>.</w:t>
            </w:r>
            <w:r>
              <w:rPr>
                <w:sz w:val="22"/>
                <w:szCs w:val="22"/>
              </w:rPr>
              <w:t>11</w:t>
            </w:r>
            <w:r w:rsidR="002231C0">
              <w:rPr>
                <w:sz w:val="22"/>
                <w:szCs w:val="22"/>
              </w:rPr>
              <w:t>.2024</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rsidR="003436FE" w:rsidRPr="002B370E" w:rsidRDefault="004C100C">
            <w:pPr>
              <w:spacing w:before="120" w:after="120"/>
              <w:jc w:val="center"/>
              <w:rPr>
                <w:sz w:val="22"/>
                <w:szCs w:val="22"/>
              </w:rPr>
            </w:pPr>
            <w:r>
              <w:rPr>
                <w:sz w:val="22"/>
                <w:szCs w:val="22"/>
              </w:rPr>
              <w:t>29</w:t>
            </w:r>
            <w:r w:rsidR="002231C0">
              <w:rPr>
                <w:sz w:val="22"/>
                <w:szCs w:val="22"/>
              </w:rPr>
              <w:t>.</w:t>
            </w:r>
            <w:r>
              <w:rPr>
                <w:sz w:val="22"/>
                <w:szCs w:val="22"/>
              </w:rPr>
              <w:t>11</w:t>
            </w:r>
            <w:r w:rsidR="002231C0">
              <w:rPr>
                <w:sz w:val="22"/>
                <w:szCs w:val="22"/>
              </w:rPr>
              <w:t>.2024</w:t>
            </w:r>
          </w:p>
        </w:tc>
        <w:tc>
          <w:tcPr>
            <w:tcW w:w="1572" w:type="dxa"/>
          </w:tcPr>
          <w:p w:rsidR="003436FE" w:rsidRPr="002B370E" w:rsidRDefault="002231C0">
            <w:pPr>
              <w:spacing w:before="120" w:after="120"/>
              <w:jc w:val="center"/>
              <w:rPr>
                <w:sz w:val="22"/>
                <w:szCs w:val="22"/>
              </w:rPr>
            </w:pPr>
            <w:r>
              <w:rPr>
                <w:sz w:val="22"/>
                <w:szCs w:val="22"/>
              </w:rPr>
              <w:t>16.00</w:t>
            </w:r>
          </w:p>
        </w:tc>
      </w:tr>
      <w:tr w:rsidR="003436FE" w:rsidRPr="002B370E" w:rsidTr="00010683">
        <w:tc>
          <w:tcPr>
            <w:tcW w:w="4820" w:type="dxa"/>
            <w:shd w:val="pct10" w:color="auto" w:fill="FFFFFF"/>
          </w:tcPr>
          <w:p w:rsidR="003436FE" w:rsidRPr="002B370E" w:rsidRDefault="003436FE" w:rsidP="003436FE">
            <w:pPr>
              <w:spacing w:before="120" w:after="120"/>
              <w:rPr>
                <w:b/>
                <w:sz w:val="22"/>
                <w:szCs w:val="22"/>
              </w:rPr>
            </w:pPr>
            <w:r w:rsidRPr="002B370E">
              <w:rPr>
                <w:b/>
                <w:sz w:val="22"/>
                <w:szCs w:val="22"/>
              </w:rPr>
              <w:t>Interviews (if any)</w:t>
            </w:r>
          </w:p>
        </w:tc>
        <w:tc>
          <w:tcPr>
            <w:tcW w:w="1972" w:type="dxa"/>
          </w:tcPr>
          <w:p w:rsidR="003436FE" w:rsidRPr="002B370E" w:rsidRDefault="003436FE" w:rsidP="003436FE">
            <w:pPr>
              <w:spacing w:before="120" w:after="120"/>
              <w:jc w:val="center"/>
              <w:rPr>
                <w:sz w:val="22"/>
                <w:szCs w:val="22"/>
              </w:rPr>
            </w:pPr>
            <w:r w:rsidRPr="002231C0">
              <w:rPr>
                <w:sz w:val="22"/>
                <w:szCs w:val="22"/>
              </w:rPr>
              <w:t>Not applicable</w:t>
            </w:r>
          </w:p>
        </w:tc>
        <w:tc>
          <w:tcPr>
            <w:tcW w:w="1572" w:type="dxa"/>
          </w:tcPr>
          <w:p w:rsidR="003436FE" w:rsidRPr="002B370E" w:rsidRDefault="003436FE" w:rsidP="003436FE">
            <w:pPr>
              <w:spacing w:before="120" w:after="120"/>
              <w:jc w:val="center"/>
              <w:rPr>
                <w:sz w:val="22"/>
                <w:szCs w:val="22"/>
              </w:rPr>
            </w:pPr>
            <w:r w:rsidRPr="002B370E">
              <w:rPr>
                <w:sz w:val="22"/>
                <w:szCs w:val="22"/>
              </w:rPr>
              <w:t>-</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rsidR="003436FE" w:rsidRPr="002B370E" w:rsidRDefault="004C100C" w:rsidP="00407F7F">
            <w:pPr>
              <w:spacing w:before="120" w:after="120"/>
              <w:jc w:val="center"/>
              <w:rPr>
                <w:sz w:val="22"/>
                <w:szCs w:val="22"/>
              </w:rPr>
            </w:pPr>
            <w:r>
              <w:rPr>
                <w:sz w:val="22"/>
                <w:szCs w:val="22"/>
              </w:rPr>
              <w:t>0</w:t>
            </w:r>
            <w:r w:rsidR="00407F7F">
              <w:rPr>
                <w:sz w:val="22"/>
                <w:szCs w:val="22"/>
              </w:rPr>
              <w:t>6</w:t>
            </w:r>
            <w:r w:rsidR="002231C0">
              <w:rPr>
                <w:sz w:val="22"/>
                <w:szCs w:val="22"/>
              </w:rPr>
              <w:t>.</w:t>
            </w:r>
            <w:r>
              <w:rPr>
                <w:sz w:val="22"/>
                <w:szCs w:val="22"/>
              </w:rPr>
              <w:t>12</w:t>
            </w:r>
            <w:r w:rsidR="002231C0">
              <w:rPr>
                <w:sz w:val="22"/>
                <w:szCs w:val="22"/>
              </w:rPr>
              <w:t>.2024</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 xml:space="preserve">Notification of award </w:t>
            </w:r>
          </w:p>
        </w:tc>
        <w:tc>
          <w:tcPr>
            <w:tcW w:w="1972" w:type="dxa"/>
          </w:tcPr>
          <w:p w:rsidR="003436FE" w:rsidRPr="002B370E" w:rsidRDefault="00407F7F">
            <w:pPr>
              <w:spacing w:before="120" w:after="120"/>
              <w:jc w:val="center"/>
              <w:rPr>
                <w:sz w:val="22"/>
                <w:szCs w:val="22"/>
              </w:rPr>
            </w:pPr>
            <w:r>
              <w:rPr>
                <w:sz w:val="22"/>
                <w:szCs w:val="22"/>
              </w:rPr>
              <w:t>10</w:t>
            </w:r>
            <w:r w:rsidR="002231C0">
              <w:rPr>
                <w:sz w:val="22"/>
                <w:szCs w:val="22"/>
              </w:rPr>
              <w:t>.</w:t>
            </w:r>
            <w:r w:rsidR="004C100C">
              <w:rPr>
                <w:sz w:val="22"/>
                <w:szCs w:val="22"/>
              </w:rPr>
              <w:t>12</w:t>
            </w:r>
            <w:r w:rsidR="002231C0">
              <w:rPr>
                <w:sz w:val="22"/>
                <w:szCs w:val="22"/>
              </w:rPr>
              <w:t>.2024</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Contract signature</w:t>
            </w:r>
          </w:p>
        </w:tc>
        <w:tc>
          <w:tcPr>
            <w:tcW w:w="1972" w:type="dxa"/>
          </w:tcPr>
          <w:p w:rsidR="003436FE" w:rsidRPr="002B370E" w:rsidRDefault="00407F7F">
            <w:pPr>
              <w:spacing w:before="120" w:after="120"/>
              <w:jc w:val="center"/>
              <w:rPr>
                <w:sz w:val="22"/>
                <w:szCs w:val="22"/>
              </w:rPr>
            </w:pPr>
            <w:r>
              <w:rPr>
                <w:sz w:val="22"/>
                <w:szCs w:val="22"/>
              </w:rPr>
              <w:t>11</w:t>
            </w:r>
            <w:r w:rsidR="002231C0">
              <w:rPr>
                <w:sz w:val="22"/>
                <w:szCs w:val="22"/>
              </w:rPr>
              <w:t>.</w:t>
            </w:r>
            <w:r w:rsidR="004C100C">
              <w:rPr>
                <w:sz w:val="22"/>
                <w:szCs w:val="22"/>
              </w:rPr>
              <w:t>12</w:t>
            </w:r>
            <w:r w:rsidR="002231C0">
              <w:rPr>
                <w:sz w:val="22"/>
                <w:szCs w:val="22"/>
              </w:rPr>
              <w:t>.2024</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Pr>
                <w:b/>
                <w:sz w:val="22"/>
                <w:szCs w:val="22"/>
              </w:rPr>
              <w:t>Start</w:t>
            </w:r>
            <w:r w:rsidRPr="002B370E">
              <w:rPr>
                <w:b/>
                <w:sz w:val="22"/>
                <w:szCs w:val="22"/>
              </w:rPr>
              <w:t xml:space="preserve"> date</w:t>
            </w:r>
          </w:p>
        </w:tc>
        <w:tc>
          <w:tcPr>
            <w:tcW w:w="1972" w:type="dxa"/>
          </w:tcPr>
          <w:p w:rsidR="003436FE" w:rsidRPr="002B370E" w:rsidRDefault="00407F7F">
            <w:pPr>
              <w:spacing w:before="120" w:after="120"/>
              <w:jc w:val="center"/>
              <w:rPr>
                <w:sz w:val="22"/>
                <w:szCs w:val="22"/>
              </w:rPr>
            </w:pPr>
            <w:r>
              <w:rPr>
                <w:sz w:val="22"/>
                <w:szCs w:val="22"/>
              </w:rPr>
              <w:t>12</w:t>
            </w:r>
            <w:r w:rsidR="002231C0">
              <w:rPr>
                <w:sz w:val="22"/>
                <w:szCs w:val="22"/>
              </w:rPr>
              <w:t>.</w:t>
            </w:r>
            <w:r w:rsidR="004C100C">
              <w:rPr>
                <w:sz w:val="22"/>
                <w:szCs w:val="22"/>
              </w:rPr>
              <w:t>12</w:t>
            </w:r>
            <w:r w:rsidR="002231C0">
              <w:rPr>
                <w:sz w:val="22"/>
                <w:szCs w:val="22"/>
              </w:rPr>
              <w:t>.2024</w:t>
            </w:r>
            <w:r w:rsidR="003436FE" w:rsidRPr="002B370E">
              <w:rPr>
                <w:sz w:val="22"/>
                <w:szCs w:val="22"/>
                <w:vertAlign w:val="superscript"/>
              </w:rPr>
              <w:sym w:font="Monotype Sorts" w:char="F027"/>
            </w:r>
          </w:p>
        </w:tc>
        <w:tc>
          <w:tcPr>
            <w:tcW w:w="1572" w:type="dxa"/>
          </w:tcPr>
          <w:p w:rsidR="003436FE" w:rsidRPr="002B370E" w:rsidRDefault="003436FE">
            <w:pPr>
              <w:spacing w:before="120" w:after="120"/>
              <w:jc w:val="center"/>
              <w:rPr>
                <w:sz w:val="22"/>
                <w:szCs w:val="22"/>
              </w:rPr>
            </w:pPr>
            <w:r w:rsidRPr="002B370E">
              <w:rPr>
                <w:sz w:val="22"/>
                <w:szCs w:val="22"/>
              </w:rPr>
              <w:t>-</w:t>
            </w:r>
          </w:p>
        </w:tc>
      </w:tr>
    </w:tbl>
    <w:p w:rsidR="003436FE" w:rsidRPr="002B370E" w:rsidRDefault="003436FE" w:rsidP="003436FE">
      <w:pPr>
        <w:spacing w:before="120" w:after="240"/>
        <w:rPr>
          <w:b/>
          <w:sz w:val="22"/>
          <w:szCs w:val="22"/>
        </w:rPr>
      </w:pPr>
      <w:r w:rsidRPr="002B370E">
        <w:rPr>
          <w:sz w:val="22"/>
          <w:szCs w:val="22"/>
          <w:vertAlign w:val="superscript"/>
        </w:rPr>
        <w:sym w:font="Monotype Sorts" w:char="F027"/>
      </w:r>
      <w:r w:rsidRPr="002B370E">
        <w:rPr>
          <w:b/>
          <w:sz w:val="22"/>
          <w:szCs w:val="22"/>
        </w:rPr>
        <w:t>Provisional date</w:t>
      </w:r>
    </w:p>
    <w:p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0544E6">
        <w:rPr>
          <w:b/>
          <w:sz w:val="24"/>
          <w:szCs w:val="24"/>
        </w:rPr>
        <w:t xml:space="preserve">experts and </w:t>
      </w:r>
      <w:r w:rsidRPr="002B370E">
        <w:rPr>
          <w:b/>
          <w:sz w:val="24"/>
          <w:szCs w:val="24"/>
        </w:rPr>
        <w:t>subcontracting</w:t>
      </w:r>
      <w:bookmarkEnd w:id="1"/>
    </w:p>
    <w:p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rsidR="003436FE" w:rsidRPr="002B370E" w:rsidRDefault="003436FE"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.1</w:t>
      </w:r>
      <w:r w:rsidR="00BF0BD3">
        <w:rPr>
          <w:sz w:val="22"/>
          <w:szCs w:val="22"/>
        </w:rPr>
        <w:t>.</w:t>
      </w:r>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irregularrespectively</w:t>
      </w:r>
      <w:r w:rsidRPr="002B370E">
        <w:rPr>
          <w:sz w:val="22"/>
          <w:szCs w:val="22"/>
        </w:rPr>
        <w:t>.</w:t>
      </w:r>
    </w:p>
    <w:p w:rsidR="003436FE" w:rsidRDefault="004E248D"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p>
    <w:p w:rsidR="00381AB8" w:rsidRPr="00C3216F" w:rsidRDefault="00381AB8"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lastRenderedPageBreak/>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rsidR="006F15C1" w:rsidRDefault="00BC415F" w:rsidP="00BC415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p>
    <w:p w:rsidR="00AD2FEE" w:rsidRDefault="003436FE"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rsidR="00AD2FEE" w:rsidRDefault="003436FE"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C330E1" w:rsidRPr="00AD2FEE">
        <w:rPr>
          <w:sz w:val="22"/>
          <w:szCs w:val="22"/>
        </w:rPr>
        <w:t>6</w:t>
      </w:r>
      <w:r w:rsidRPr="00AD2FEE">
        <w:rPr>
          <w:sz w:val="22"/>
          <w:szCs w:val="22"/>
        </w:rPr>
        <w:t>.</w:t>
      </w:r>
      <w:r w:rsidR="00C330E1" w:rsidRPr="00AD2FEE">
        <w:rPr>
          <w:sz w:val="22"/>
          <w:szCs w:val="22"/>
        </w:rPr>
        <w:t>10.1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p>
    <w:p w:rsidR="001F750F" w:rsidRPr="00AD2FEE" w:rsidRDefault="001F750F"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p>
    <w:p w:rsidR="003436FE" w:rsidRPr="002B370E" w:rsidRDefault="003436FE" w:rsidP="003436FE">
      <w:pPr>
        <w:widowControl w:val="0"/>
        <w:numPr>
          <w:ilvl w:val="0"/>
          <w:numId w:val="26"/>
        </w:numPr>
        <w:spacing w:before="120" w:after="120"/>
        <w:jc w:val="both"/>
        <w:rPr>
          <w:b/>
          <w:sz w:val="24"/>
          <w:szCs w:val="24"/>
        </w:rPr>
      </w:pPr>
      <w:r w:rsidRPr="002B370E">
        <w:rPr>
          <w:b/>
          <w:sz w:val="24"/>
          <w:szCs w:val="24"/>
        </w:rPr>
        <w:t>Content of tenders</w:t>
      </w:r>
    </w:p>
    <w:p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rsidR="003436F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430572" w:rsidRPr="002231C0" w:rsidRDefault="00430572" w:rsidP="00430572">
      <w:pPr>
        <w:widowControl w:val="0"/>
        <w:spacing w:before="120" w:after="120"/>
        <w:jc w:val="both"/>
        <w:rPr>
          <w:sz w:val="22"/>
          <w:szCs w:val="22"/>
        </w:rPr>
      </w:pPr>
      <w:r w:rsidRPr="002231C0">
        <w:rPr>
          <w:sz w:val="22"/>
          <w:szCs w:val="22"/>
        </w:rPr>
        <w:t xml:space="preserve">The tender must include a technical offer and a financial offer, which must be submitted in separate envelopes (see clause </w:t>
      </w:r>
      <w:fldSimple w:instr=" REF _Ref499982672 \r \h  \* MERGEFORMAT ">
        <w:r w:rsidR="00C11763" w:rsidRPr="00C11763">
          <w:rPr>
            <w:sz w:val="22"/>
            <w:szCs w:val="22"/>
          </w:rPr>
          <w:t>8</w:t>
        </w:r>
      </w:fldSimple>
      <w:r w:rsidRPr="002231C0">
        <w:rPr>
          <w:sz w:val="22"/>
          <w:szCs w:val="22"/>
        </w:rPr>
        <w:t xml:space="preserve">). Each technical offer and financial offer must contain one original, clearly marked </w:t>
      </w:r>
      <w:r w:rsidRPr="002231C0">
        <w:rPr>
          <w:b/>
          <w:sz w:val="22"/>
          <w:szCs w:val="22"/>
        </w:rPr>
        <w:t>“Original”</w:t>
      </w:r>
      <w:r w:rsidRPr="002231C0">
        <w:rPr>
          <w:sz w:val="22"/>
          <w:szCs w:val="22"/>
        </w:rPr>
        <w:t xml:space="preserve">, and </w:t>
      </w:r>
      <w:r w:rsidR="002231C0" w:rsidRPr="002231C0">
        <w:rPr>
          <w:sz w:val="22"/>
          <w:szCs w:val="22"/>
        </w:rPr>
        <w:t>two</w:t>
      </w:r>
      <w:r w:rsidRPr="002231C0">
        <w:rPr>
          <w:sz w:val="22"/>
          <w:szCs w:val="22"/>
        </w:rPr>
        <w:t xml:space="preserve"> copies, each marked </w:t>
      </w:r>
      <w:r w:rsidRPr="002231C0">
        <w:rPr>
          <w:b/>
          <w:sz w:val="22"/>
          <w:szCs w:val="22"/>
        </w:rPr>
        <w:t>“Copy”</w:t>
      </w:r>
      <w:r w:rsidRPr="002231C0">
        <w:rPr>
          <w:sz w:val="22"/>
          <w:szCs w:val="22"/>
        </w:rPr>
        <w:t>.</w:t>
      </w:r>
    </w:p>
    <w:p w:rsidR="00430572" w:rsidRPr="00E07245" w:rsidRDefault="006E0499" w:rsidP="00E07245">
      <w:pPr>
        <w:spacing w:before="120" w:after="120"/>
        <w:jc w:val="both"/>
      </w:pPr>
      <w:r w:rsidRPr="002231C0">
        <w:rPr>
          <w:sz w:val="22"/>
          <w:szCs w:val="22"/>
        </w:rPr>
        <w:t>T</w:t>
      </w:r>
      <w:r w:rsidR="00430572" w:rsidRPr="002231C0">
        <w:rPr>
          <w:sz w:val="22"/>
          <w:szCs w:val="22"/>
        </w:rPr>
        <w:t xml:space="preserve">he electronic version of the technical offer must be included with the printed version in the separate envelope in which the technical offer is submitted. </w:t>
      </w:r>
      <w:r w:rsidR="00226F79" w:rsidRPr="002231C0">
        <w:rPr>
          <w:sz w:val="22"/>
          <w:szCs w:val="22"/>
        </w:rPr>
        <w:t xml:space="preserve">The electronic version of the financial offer must be included with the printed version in the separate envelope in which the financial offer is submitted. </w:t>
      </w:r>
      <w:r w:rsidR="00430572" w:rsidRPr="002231C0">
        <w:rPr>
          <w:sz w:val="22"/>
          <w:szCs w:val="22"/>
        </w:rPr>
        <w:t>If there are any discrepancies between the electronic version and the original, printed version, the latter has precedence</w:t>
      </w:r>
      <w:r w:rsidR="00430572">
        <w:rPr>
          <w:sz w:val="22"/>
          <w:szCs w:val="22"/>
          <w:highlight w:val="lightGray"/>
        </w:rPr>
        <w:t>.</w:t>
      </w:r>
    </w:p>
    <w:p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fldSimple w:instr=" REF _Ref499982672 \r \h  \* MERGEFORMAT ">
        <w:r w:rsidR="00C11763" w:rsidRPr="00C11763">
          <w:rPr>
            <w:sz w:val="22"/>
            <w:szCs w:val="22"/>
          </w:rPr>
          <w:t>8</w:t>
        </w:r>
      </w:fldSimple>
      <w:r w:rsidRPr="002B370E">
        <w:rPr>
          <w:sz w:val="22"/>
          <w:szCs w:val="22"/>
        </w:rPr>
        <w:t xml:space="preserve"> will constitute </w:t>
      </w:r>
      <w:r w:rsidR="004E248D">
        <w:rPr>
          <w:sz w:val="22"/>
          <w:szCs w:val="22"/>
        </w:rPr>
        <w:t>an irregularity</w:t>
      </w:r>
      <w:r w:rsidRPr="002B370E">
        <w:rPr>
          <w:sz w:val="22"/>
          <w:szCs w:val="22"/>
        </w:rPr>
        <w:t>and may result in rejection of the tender.</w:t>
      </w:r>
    </w:p>
    <w:p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rsidR="003436FE" w:rsidRPr="002B370E" w:rsidRDefault="003436FE" w:rsidP="003436FE">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rsidR="003436FE" w:rsidRPr="002231C0" w:rsidRDefault="003436FE" w:rsidP="004716BC">
      <w:pPr>
        <w:widowControl w:val="0"/>
        <w:numPr>
          <w:ilvl w:val="0"/>
          <w:numId w:val="27"/>
        </w:numPr>
        <w:tabs>
          <w:tab w:val="clear" w:pos="360"/>
          <w:tab w:val="num" w:pos="851"/>
        </w:tabs>
        <w:spacing w:before="120" w:after="120"/>
        <w:ind w:left="927"/>
        <w:jc w:val="both"/>
        <w:rPr>
          <w:sz w:val="22"/>
          <w:szCs w:val="22"/>
        </w:rPr>
      </w:pPr>
      <w:r w:rsidRPr="002231C0">
        <w:rPr>
          <w:sz w:val="22"/>
          <w:szCs w:val="22"/>
        </w:rPr>
        <w:lastRenderedPageBreak/>
        <w:t>A signed</w:t>
      </w:r>
      <w:r w:rsidRPr="002231C0">
        <w:rPr>
          <w:b/>
          <w:sz w:val="22"/>
          <w:szCs w:val="22"/>
        </w:rPr>
        <w:t xml:space="preserve"> declaration</w:t>
      </w:r>
      <w:r w:rsidR="00753CEB" w:rsidRPr="002231C0">
        <w:rPr>
          <w:sz w:val="22"/>
          <w:szCs w:val="22"/>
        </w:rPr>
        <w:t xml:space="preserve">using the format attached to the tender submission form </w:t>
      </w:r>
      <w:r w:rsidR="001B1598" w:rsidRPr="002231C0">
        <w:rPr>
          <w:sz w:val="22"/>
          <w:szCs w:val="22"/>
        </w:rPr>
        <w:t>together with a signed</w:t>
      </w:r>
      <w:r w:rsidR="000D135C" w:rsidRPr="002231C0">
        <w:rPr>
          <w:sz w:val="22"/>
          <w:szCs w:val="22"/>
        </w:rPr>
        <w:t>"</w:t>
      </w:r>
      <w:r w:rsidR="001B1598" w:rsidRPr="002231C0">
        <w:rPr>
          <w:sz w:val="22"/>
          <w:szCs w:val="22"/>
        </w:rPr>
        <w:t>Declaration o</w:t>
      </w:r>
      <w:r w:rsidR="000D135C" w:rsidRPr="002231C0">
        <w:rPr>
          <w:sz w:val="22"/>
          <w:szCs w:val="22"/>
        </w:rPr>
        <w:t>n</w:t>
      </w:r>
      <w:r w:rsidR="001B1598" w:rsidRPr="002231C0">
        <w:rPr>
          <w:sz w:val="22"/>
          <w:szCs w:val="22"/>
        </w:rPr>
        <w:t xml:space="preserve"> honour on exclusion criteria and selection criteria</w:t>
      </w:r>
      <w:r w:rsidR="000D135C" w:rsidRPr="002231C0">
        <w:rPr>
          <w:sz w:val="22"/>
          <w:szCs w:val="22"/>
        </w:rPr>
        <w:t>"</w:t>
      </w:r>
      <w:r w:rsidR="000D135C">
        <w:rPr>
          <w:rStyle w:val="FootnoteReference"/>
          <w:sz w:val="22"/>
          <w:szCs w:val="22"/>
        </w:rPr>
        <w:footnoteReference w:id="2"/>
      </w:r>
      <w:r w:rsidRPr="002231C0">
        <w:rPr>
          <w:sz w:val="22"/>
          <w:szCs w:val="22"/>
        </w:rPr>
        <w:t>from each legal entity identified in the tender submission form</w:t>
      </w:r>
      <w:r w:rsidR="00854CFF" w:rsidRPr="002231C0">
        <w:rPr>
          <w:sz w:val="22"/>
          <w:szCs w:val="22"/>
        </w:rPr>
        <w:t xml:space="preserve"> and from each sub-contractor and/or capacity providing entity</w:t>
      </w:r>
      <w:r w:rsidRPr="002231C0">
        <w:rPr>
          <w:sz w:val="22"/>
          <w:szCs w:val="22"/>
        </w:rPr>
        <w:t>, using the format attached to the tender submission form.</w:t>
      </w:r>
    </w:p>
    <w:p w:rsidR="003436FE" w:rsidRPr="001B1598"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rsidR="003436FE" w:rsidRPr="00B806A1"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rsidR="003436FE" w:rsidRPr="00BF0BD3" w:rsidRDefault="003436FE" w:rsidP="003436FE">
      <w:pPr>
        <w:numPr>
          <w:ilvl w:val="0"/>
          <w:numId w:val="27"/>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rsidR="003436FE" w:rsidRPr="002231C0" w:rsidRDefault="003436FE" w:rsidP="002231C0">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396D4A" w:rsidRPr="002B370E" w:rsidRDefault="00396D4A" w:rsidP="00632671">
      <w:pPr>
        <w:pStyle w:val="BodyTextIndent"/>
        <w:spacing w:before="120"/>
        <w:rPr>
          <w:sz w:val="22"/>
          <w:szCs w:val="22"/>
        </w:rPr>
      </w:pPr>
      <w:r w:rsidRPr="00C53A7B">
        <w:rPr>
          <w:sz w:val="22"/>
          <w:szCs w:val="22"/>
        </w:rPr>
        <w:t>(4)</w:t>
      </w:r>
      <w:r w:rsidRPr="00C53A7B">
        <w:rPr>
          <w:sz w:val="22"/>
          <w:szCs w:val="22"/>
        </w:rPr>
        <w:tab/>
        <w:t xml:space="preserve">Non key experts may also be instrumental to achieve the contract objectives. However, they are not subject to evaluation by the evaluation </w:t>
      </w:r>
      <w:r w:rsidR="00543D27">
        <w:rPr>
          <w:sz w:val="22"/>
          <w:szCs w:val="22"/>
        </w:rPr>
        <w:t>c</w:t>
      </w:r>
      <w:r w:rsidRPr="00C53A7B">
        <w:rPr>
          <w:sz w:val="22"/>
          <w:szCs w:val="22"/>
        </w:rPr>
        <w:t>ommittee. Their positions and responsibilities may be defined in Section 6.1.</w:t>
      </w:r>
      <w:r w:rsidR="00804556">
        <w:rPr>
          <w:sz w:val="22"/>
          <w:szCs w:val="22"/>
        </w:rPr>
        <w:t>2</w:t>
      </w:r>
      <w:r w:rsidRPr="00C53A7B">
        <w:rPr>
          <w:sz w:val="22"/>
          <w:szCs w:val="22"/>
        </w:rPr>
        <w:t xml:space="preserve"> of the </w:t>
      </w:r>
      <w:r w:rsidR="00543D27">
        <w:rPr>
          <w:sz w:val="22"/>
          <w:szCs w:val="22"/>
        </w:rPr>
        <w:t>t</w:t>
      </w:r>
      <w:r w:rsidRPr="00C53A7B">
        <w:rPr>
          <w:sz w:val="22"/>
          <w:szCs w:val="22"/>
        </w:rPr>
        <w:t xml:space="preserve">erms of </w:t>
      </w:r>
      <w:r w:rsidR="00543D27">
        <w:rPr>
          <w:sz w:val="22"/>
          <w:szCs w:val="22"/>
        </w:rPr>
        <w:t>r</w:t>
      </w:r>
      <w:r w:rsidRPr="00C53A7B">
        <w:rPr>
          <w:sz w:val="22"/>
          <w:szCs w:val="22"/>
        </w:rPr>
        <w:t>eference in Annex II to the draft contract.</w:t>
      </w:r>
    </w:p>
    <w:p w:rsidR="003436FE" w:rsidRPr="002B370E" w:rsidRDefault="00010683" w:rsidP="003436FE">
      <w:pPr>
        <w:pStyle w:val="BodyTextIndent"/>
        <w:tabs>
          <w:tab w:val="clear" w:pos="567"/>
        </w:tabs>
        <w:spacing w:before="120"/>
        <w:rPr>
          <w:sz w:val="22"/>
          <w:szCs w:val="22"/>
        </w:rPr>
      </w:pPr>
      <w:r>
        <w:rPr>
          <w:sz w:val="22"/>
          <w:szCs w:val="22"/>
        </w:rPr>
        <w:t>(5)</w:t>
      </w:r>
      <w:r w:rsidR="003436FE" w:rsidRPr="002B370E">
        <w:rPr>
          <w:sz w:val="22"/>
          <w:szCs w:val="22"/>
        </w:rPr>
        <w:tab/>
        <w:t xml:space="preserve">Documentary proof or statements required under the law of the country in which the company (or each of the companies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xml:space="preserve">, the sub-contractors and the capacity providing entitiesare </w:t>
      </w:r>
      <w:r w:rsidR="00157CF6">
        <w:rPr>
          <w:sz w:val="22"/>
          <w:szCs w:val="22"/>
        </w:rPr>
        <w:t>effectively</w:t>
      </w:r>
      <w:r w:rsidR="003436FE" w:rsidRPr="002B370E">
        <w:rPr>
          <w:sz w:val="22"/>
          <w:szCs w:val="22"/>
        </w:rPr>
        <w:t xml:space="preserve">established, to show that </w:t>
      </w:r>
      <w:r w:rsidR="00854CFF">
        <w:rPr>
          <w:sz w:val="22"/>
          <w:szCs w:val="22"/>
        </w:rPr>
        <w:t>they are</w:t>
      </w:r>
      <w:r w:rsidR="003436FE" w:rsidRPr="002B370E">
        <w:rPr>
          <w:sz w:val="22"/>
          <w:szCs w:val="22"/>
        </w:rPr>
        <w:t xml:space="preserve"> not in any of the exclusion situations listed in </w:t>
      </w:r>
      <w:r w:rsidR="00543D27">
        <w:rPr>
          <w:sz w:val="22"/>
          <w:szCs w:val="22"/>
        </w:rPr>
        <w:t>S</w:t>
      </w:r>
      <w:r w:rsidR="003436FE" w:rsidRPr="002B370E">
        <w:rPr>
          <w:sz w:val="22"/>
          <w:szCs w:val="22"/>
        </w:rPr>
        <w:t>ection 2.</w:t>
      </w:r>
      <w:r w:rsidR="00C330E1">
        <w:rPr>
          <w:sz w:val="22"/>
          <w:szCs w:val="22"/>
        </w:rPr>
        <w:t>6</w:t>
      </w:r>
      <w:r w:rsidR="003436FE" w:rsidRPr="002B370E">
        <w:rPr>
          <w:sz w:val="22"/>
          <w:szCs w:val="22"/>
        </w:rPr>
        <w:t>.</w:t>
      </w:r>
      <w:r w:rsidR="00C330E1">
        <w:rPr>
          <w:sz w:val="22"/>
          <w:szCs w:val="22"/>
        </w:rPr>
        <w:t>10.1</w:t>
      </w:r>
      <w:r w:rsidR="003436FE" w:rsidRPr="002B370E">
        <w:rPr>
          <w:sz w:val="22"/>
          <w:szCs w:val="22"/>
        </w:rPr>
        <w:t xml:space="preserve"> 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uide. This evidence</w:t>
      </w:r>
      <w:r w:rsidR="003436FE">
        <w:rPr>
          <w:sz w:val="22"/>
          <w:szCs w:val="22"/>
        </w:rPr>
        <w:t>,</w:t>
      </w:r>
      <w:r w:rsidR="003436FE" w:rsidRPr="002B370E">
        <w:rPr>
          <w:sz w:val="22"/>
          <w:szCs w:val="22"/>
        </w:rPr>
        <w:t xml:space="preserve"> documents or statements must </w:t>
      </w:r>
      <w:r w:rsidR="003436FE">
        <w:rPr>
          <w:sz w:val="22"/>
          <w:szCs w:val="22"/>
        </w:rPr>
        <w:t>be</w:t>
      </w:r>
      <w:r w:rsidR="003436FE" w:rsidRPr="002B370E">
        <w:rPr>
          <w:sz w:val="22"/>
          <w:szCs w:val="22"/>
        </w:rPr>
        <w:t xml:space="preserve"> date</w:t>
      </w:r>
      <w:r w:rsidR="003436FE">
        <w:rPr>
          <w:sz w:val="22"/>
          <w:szCs w:val="22"/>
        </w:rPr>
        <w:t>d</w:t>
      </w:r>
      <w:r w:rsidR="003436FE" w:rsidRPr="002B370E">
        <w:rPr>
          <w:sz w:val="22"/>
          <w:szCs w:val="22"/>
        </w:rPr>
        <w:t xml:space="preserve">, no more than </w:t>
      </w:r>
      <w:r w:rsidR="00157CF6">
        <w:rPr>
          <w:sz w:val="22"/>
          <w:szCs w:val="22"/>
        </w:rPr>
        <w:t>one</w:t>
      </w:r>
      <w:r w:rsidR="003436FE" w:rsidRPr="002B370E">
        <w:rPr>
          <w:sz w:val="22"/>
          <w:szCs w:val="22"/>
        </w:rPr>
        <w:t xml:space="preserve">year before the date of submission of the tender. In addition, a statement </w:t>
      </w:r>
      <w:r w:rsidR="003436FE">
        <w:rPr>
          <w:sz w:val="22"/>
          <w:szCs w:val="22"/>
        </w:rPr>
        <w:t>must</w:t>
      </w:r>
      <w:r w:rsidR="003436FE" w:rsidRPr="002B370E">
        <w:rPr>
          <w:sz w:val="22"/>
          <w:szCs w:val="22"/>
        </w:rPr>
        <w:t xml:space="preserve"> be furnished stating that the situations described in these documents have not changed since then.  </w:t>
      </w:r>
    </w:p>
    <w:p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w:t>
      </w:r>
      <w:r w:rsidRPr="002B370E">
        <w:rPr>
          <w:color w:val="000000"/>
          <w:sz w:val="22"/>
          <w:szCs w:val="22"/>
        </w:rPr>
        <w:lastRenderedPageBreak/>
        <w:t>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1B2CA6" w:rsidRDefault="003121C6" w:rsidP="003121C6">
      <w:pPr>
        <w:spacing w:before="120" w:after="120"/>
        <w:ind w:left="567" w:hanging="567"/>
        <w:jc w:val="both"/>
        <w:rPr>
          <w:color w:val="000000"/>
          <w:sz w:val="22"/>
          <w:szCs w:val="22"/>
        </w:rPr>
      </w:pPr>
      <w:r>
        <w:rPr>
          <w:color w:val="000000"/>
          <w:sz w:val="22"/>
          <w:szCs w:val="22"/>
        </w:rPr>
        <w:t>(6)</w:t>
      </w:r>
      <w:r w:rsidR="002231C0">
        <w:rPr>
          <w:color w:val="000000"/>
          <w:sz w:val="22"/>
          <w:szCs w:val="22"/>
        </w:rPr>
        <w:tab/>
      </w:r>
      <w:r w:rsidRPr="006835B2">
        <w:rPr>
          <w:color w:val="000000"/>
          <w:sz w:val="22"/>
          <w:szCs w:val="22"/>
        </w:rPr>
        <w:t xml:space="preserve">Documentary evidence of the financial and economic capacity </w:t>
      </w:r>
      <w:r w:rsidR="000F0B96" w:rsidRPr="006835B2">
        <w:rPr>
          <w:color w:val="000000"/>
          <w:sz w:val="22"/>
          <w:szCs w:val="22"/>
        </w:rPr>
        <w:t>and/or of</w:t>
      </w:r>
      <w:r w:rsidRPr="006835B2">
        <w:rPr>
          <w:color w:val="000000"/>
          <w:sz w:val="22"/>
          <w:szCs w:val="22"/>
        </w:rPr>
        <w:t xml:space="preserve"> the technical and professional capacity according to the selection criteria specified in </w:t>
      </w:r>
      <w:r w:rsidR="005D2BA9" w:rsidRPr="006835B2">
        <w:rPr>
          <w:color w:val="000000"/>
          <w:sz w:val="22"/>
          <w:szCs w:val="22"/>
        </w:rPr>
        <w:t xml:space="preserve">point 16 of </w:t>
      </w:r>
      <w:r w:rsidRPr="006835B2">
        <w:rPr>
          <w:color w:val="000000"/>
          <w:sz w:val="22"/>
          <w:szCs w:val="22"/>
        </w:rPr>
        <w:t xml:space="preserve">the </w:t>
      </w:r>
      <w:r w:rsidR="00412107" w:rsidRPr="006835B2">
        <w:rPr>
          <w:color w:val="000000"/>
          <w:sz w:val="22"/>
          <w:szCs w:val="22"/>
        </w:rPr>
        <w:t xml:space="preserve">contract </w:t>
      </w:r>
      <w:r w:rsidRPr="006835B2">
        <w:rPr>
          <w:color w:val="000000"/>
          <w:sz w:val="22"/>
          <w:szCs w:val="22"/>
        </w:rPr>
        <w:t xml:space="preserve">notice. </w:t>
      </w:r>
      <w:r w:rsidR="00C3216F" w:rsidRPr="006835B2">
        <w:rPr>
          <w:sz w:val="22"/>
          <w:szCs w:val="22"/>
        </w:rPr>
        <w:t>(S</w:t>
      </w:r>
      <w:r w:rsidRPr="006835B2">
        <w:rPr>
          <w:sz w:val="22"/>
          <w:szCs w:val="22"/>
        </w:rPr>
        <w:t xml:space="preserve">ee  </w:t>
      </w:r>
      <w:r w:rsidR="00543D27" w:rsidRPr="006835B2">
        <w:rPr>
          <w:sz w:val="22"/>
          <w:szCs w:val="22"/>
        </w:rPr>
        <w:t>Section</w:t>
      </w:r>
      <w:r w:rsidRPr="006835B2">
        <w:rPr>
          <w:sz w:val="22"/>
          <w:szCs w:val="22"/>
        </w:rPr>
        <w:t xml:space="preserve"> 2.</w:t>
      </w:r>
      <w:r w:rsidR="00C330E1" w:rsidRPr="006835B2">
        <w:rPr>
          <w:sz w:val="22"/>
          <w:szCs w:val="22"/>
        </w:rPr>
        <w:t>6</w:t>
      </w:r>
      <w:r w:rsidRPr="006835B2">
        <w:rPr>
          <w:sz w:val="22"/>
          <w:szCs w:val="22"/>
        </w:rPr>
        <w:t xml:space="preserve">.11 of the </w:t>
      </w:r>
      <w:r w:rsidR="00C330E1" w:rsidRPr="006835B2">
        <w:rPr>
          <w:sz w:val="22"/>
          <w:szCs w:val="22"/>
        </w:rPr>
        <w:t>p</w:t>
      </w:r>
      <w:r w:rsidRPr="006835B2">
        <w:rPr>
          <w:sz w:val="22"/>
          <w:szCs w:val="22"/>
        </w:rPr>
        <w:t xml:space="preserve">ractical </w:t>
      </w:r>
      <w:r w:rsidR="00C330E1" w:rsidRPr="006835B2">
        <w:rPr>
          <w:sz w:val="22"/>
          <w:szCs w:val="22"/>
        </w:rPr>
        <w:t>g</w:t>
      </w:r>
      <w:r w:rsidRPr="006835B2">
        <w:rPr>
          <w:sz w:val="22"/>
          <w:szCs w:val="22"/>
        </w:rPr>
        <w:t>uide).</w:t>
      </w:r>
    </w:p>
    <w:p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rsidR="003436FE" w:rsidRPr="002B370E" w:rsidRDefault="003436FE" w:rsidP="003436FE">
      <w:pPr>
        <w:spacing w:before="120" w:after="120"/>
        <w:jc w:val="both"/>
        <w:rPr>
          <w:sz w:val="22"/>
          <w:szCs w:val="22"/>
        </w:rPr>
      </w:pPr>
      <w:r w:rsidRPr="002B370E">
        <w:rPr>
          <w:sz w:val="22"/>
          <w:szCs w:val="22"/>
        </w:rPr>
        <w:t>Tenderers are reminded that the provision of false information in this tender procedure may lead to</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rsidR="008531BA" w:rsidRPr="002231C0" w:rsidRDefault="003436FE" w:rsidP="003436FE">
      <w:pPr>
        <w:shd w:val="clear" w:color="auto" w:fill="FFFFFF"/>
        <w:spacing w:before="120" w:after="120"/>
        <w:jc w:val="both"/>
        <w:rPr>
          <w:sz w:val="22"/>
          <w:szCs w:val="22"/>
        </w:rPr>
      </w:pPr>
      <w:r w:rsidRPr="002231C0">
        <w:rPr>
          <w:sz w:val="22"/>
          <w:szCs w:val="22"/>
        </w:rPr>
        <w:t xml:space="preserve">The </w:t>
      </w:r>
      <w:r w:rsidR="00543D27" w:rsidRPr="002231C0">
        <w:rPr>
          <w:sz w:val="22"/>
          <w:szCs w:val="22"/>
        </w:rPr>
        <w:t>f</w:t>
      </w:r>
      <w:r w:rsidRPr="002231C0">
        <w:rPr>
          <w:sz w:val="22"/>
          <w:szCs w:val="22"/>
        </w:rPr>
        <w:t>inancial offer must be presented as an amount in Euroand must be submitted using the template for the global-price version of Annex V to part B of this tender dossier. The electronic version of this document ‘B8 — Budget for a global-price contract’ can be found on the website</w:t>
      </w:r>
    </w:p>
    <w:p w:rsidR="005F1DD5" w:rsidRPr="002231C0" w:rsidRDefault="002F3571" w:rsidP="003436FE">
      <w:pPr>
        <w:shd w:val="clear" w:color="auto" w:fill="FFFFFF"/>
        <w:spacing w:before="120" w:after="120"/>
        <w:jc w:val="both"/>
        <w:rPr>
          <w:color w:val="0000FF"/>
          <w:sz w:val="22"/>
          <w:szCs w:val="22"/>
        </w:rPr>
      </w:pPr>
      <w:hyperlink r:id="rId12" w:history="1">
        <w:r w:rsidR="00996707" w:rsidRPr="002231C0">
          <w:rPr>
            <w:rStyle w:val="Hyperlink"/>
            <w:sz w:val="22"/>
            <w:szCs w:val="22"/>
          </w:rPr>
          <w:t>http://ec.europa.eu/europeaid/prag/document.do</w:t>
        </w:r>
      </w:hyperlink>
      <w:r w:rsidR="005D1583" w:rsidRPr="002231C0">
        <w:rPr>
          <w:sz w:val="22"/>
          <w:szCs w:val="22"/>
        </w:rPr>
        <w:t>.</w:t>
      </w:r>
    </w:p>
    <w:p w:rsidR="003436FE" w:rsidRPr="002B370E" w:rsidRDefault="003436FE" w:rsidP="003436FE">
      <w:pPr>
        <w:shd w:val="clear" w:color="auto" w:fill="FFFFFF"/>
        <w:spacing w:before="120" w:after="120"/>
        <w:jc w:val="both"/>
        <w:rPr>
          <w:sz w:val="22"/>
          <w:szCs w:val="22"/>
        </w:rPr>
      </w:pPr>
      <w:r w:rsidRPr="002231C0">
        <w:rPr>
          <w:sz w:val="22"/>
          <w:szCs w:val="22"/>
        </w:rPr>
        <w:t xml:space="preserve">The global price </w:t>
      </w:r>
      <w:r w:rsidR="008531BA" w:rsidRPr="002231C0">
        <w:rPr>
          <w:sz w:val="22"/>
          <w:szCs w:val="22"/>
        </w:rPr>
        <w:t>may</w:t>
      </w:r>
      <w:r w:rsidRPr="002231C0">
        <w:rPr>
          <w:sz w:val="22"/>
          <w:szCs w:val="22"/>
        </w:rPr>
        <w:t xml:space="preserve"> be broken down </w:t>
      </w:r>
      <w:r w:rsidR="008531BA" w:rsidRPr="002231C0">
        <w:rPr>
          <w:sz w:val="22"/>
          <w:szCs w:val="22"/>
        </w:rPr>
        <w:t xml:space="preserve">by outputs if required from the </w:t>
      </w:r>
      <w:r w:rsidR="00543D27" w:rsidRPr="002231C0">
        <w:rPr>
          <w:sz w:val="22"/>
          <w:szCs w:val="22"/>
        </w:rPr>
        <w:t>t</w:t>
      </w:r>
      <w:r w:rsidR="008531BA" w:rsidRPr="002231C0">
        <w:rPr>
          <w:sz w:val="22"/>
          <w:szCs w:val="22"/>
        </w:rPr>
        <w:t xml:space="preserve">erms of </w:t>
      </w:r>
      <w:r w:rsidR="00543D27" w:rsidRPr="002231C0">
        <w:rPr>
          <w:sz w:val="22"/>
          <w:szCs w:val="22"/>
        </w:rPr>
        <w:t>r</w:t>
      </w:r>
      <w:r w:rsidR="008531BA" w:rsidRPr="002231C0">
        <w:rPr>
          <w:sz w:val="22"/>
          <w:szCs w:val="22"/>
        </w:rPr>
        <w:t>eference</w:t>
      </w:r>
      <w:r w:rsidRPr="002231C0">
        <w:rPr>
          <w:sz w:val="22"/>
          <w:szCs w:val="22"/>
        </w:rPr>
        <w:t>.</w:t>
      </w:r>
    </w:p>
    <w:p w:rsidR="003436FE" w:rsidRPr="002B370E" w:rsidRDefault="003436F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sidR="00517439">
        <w:rPr>
          <w:sz w:val="22"/>
          <w:szCs w:val="22"/>
        </w:rPr>
        <w:t>contract</w:t>
      </w:r>
      <w:r w:rsidRPr="002B370E">
        <w:rPr>
          <w:sz w:val="22"/>
          <w:szCs w:val="22"/>
        </w:rPr>
        <w:t xml:space="preserve">notice, is </w:t>
      </w:r>
      <w:r w:rsidRPr="002231C0">
        <w:rPr>
          <w:sz w:val="22"/>
          <w:szCs w:val="22"/>
        </w:rPr>
        <w:t>EUR</w:t>
      </w:r>
      <w:r w:rsidR="006835B2">
        <w:rPr>
          <w:sz w:val="22"/>
          <w:szCs w:val="22"/>
        </w:rPr>
        <w:t>7</w:t>
      </w:r>
      <w:r w:rsidR="002231C0">
        <w:rPr>
          <w:sz w:val="22"/>
          <w:szCs w:val="22"/>
        </w:rPr>
        <w:t>,</w:t>
      </w:r>
      <w:r w:rsidR="006835B2">
        <w:rPr>
          <w:sz w:val="22"/>
          <w:szCs w:val="22"/>
        </w:rPr>
        <w:t>5</w:t>
      </w:r>
      <w:r w:rsidR="002231C0">
        <w:rPr>
          <w:sz w:val="22"/>
          <w:szCs w:val="22"/>
        </w:rPr>
        <w:t>00.00</w:t>
      </w:r>
      <w:r w:rsidRPr="002B370E">
        <w:rPr>
          <w:sz w:val="22"/>
          <w:szCs w:val="22"/>
        </w:rPr>
        <w:t xml:space="preserve">. Payments under this contract will be made in </w:t>
      </w:r>
      <w:r w:rsidR="006F25A2">
        <w:rPr>
          <w:sz w:val="22"/>
          <w:szCs w:val="22"/>
        </w:rPr>
        <w:t>the currency of the tender.</w:t>
      </w:r>
    </w:p>
    <w:p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rsidR="002231C0" w:rsidRPr="003A10BA" w:rsidRDefault="002231C0" w:rsidP="002231C0">
      <w:pPr>
        <w:jc w:val="both"/>
        <w:rPr>
          <w:sz w:val="22"/>
          <w:szCs w:val="22"/>
        </w:rPr>
      </w:pPr>
      <w:r w:rsidRPr="003A10BA">
        <w:rPr>
          <w:sz w:val="22"/>
          <w:szCs w:val="22"/>
        </w:rPr>
        <w:t xml:space="preserve">The European Commission and Republic of Macedonia have agreed in Framework agreement dated 29 October 2007 to fully exonerate the following taxes: taxes, customs and import duties (article 26). </w:t>
      </w:r>
    </w:p>
    <w:p w:rsidR="002231C0" w:rsidRPr="002B370E" w:rsidRDefault="002231C0" w:rsidP="006835B2">
      <w:pPr>
        <w:spacing w:after="120"/>
        <w:jc w:val="both"/>
        <w:rPr>
          <w:sz w:val="22"/>
          <w:szCs w:val="22"/>
        </w:rPr>
      </w:pPr>
      <w:r w:rsidRPr="003A10BA">
        <w:rPr>
          <w:sz w:val="22"/>
          <w:szCs w:val="22"/>
        </w:rPr>
        <w:t xml:space="preserve">The rules for </w:t>
      </w:r>
      <w:r w:rsidRPr="006835B2">
        <w:rPr>
          <w:sz w:val="22"/>
          <w:szCs w:val="22"/>
        </w:rPr>
        <w:t xml:space="preserve">exemption of taxes, customs and import duties is given in the </w:t>
      </w:r>
      <w:r w:rsidRPr="006835B2">
        <w:rPr>
          <w:rStyle w:val="longtext"/>
          <w:color w:val="000000"/>
          <w:sz w:val="22"/>
          <w:szCs w:val="22"/>
        </w:rPr>
        <w:t>Guidelines for the implementation of the exemption from customs duties, excise and VAT on imports of goods and provision of funds for payment of excise duty and VAT on goods and services in the country, necessary for realization of projects, published</w:t>
      </w:r>
      <w:r w:rsidRPr="006835B2">
        <w:rPr>
          <w:sz w:val="22"/>
          <w:szCs w:val="22"/>
        </w:rPr>
        <w:t xml:space="preserve"> in </w:t>
      </w:r>
      <w:r w:rsidRPr="006835B2">
        <w:rPr>
          <w:rStyle w:val="hps"/>
          <w:color w:val="000000"/>
          <w:sz w:val="22"/>
          <w:szCs w:val="22"/>
        </w:rPr>
        <w:t>"OfficialGazette ofRM</w:t>
      </w:r>
      <w:r w:rsidRPr="006835B2">
        <w:rPr>
          <w:rStyle w:val="longtext"/>
          <w:color w:val="000000"/>
          <w:sz w:val="22"/>
          <w:szCs w:val="22"/>
        </w:rPr>
        <w:t xml:space="preserve">", </w:t>
      </w:r>
      <w:r w:rsidRPr="006835B2">
        <w:rPr>
          <w:rStyle w:val="hps"/>
          <w:color w:val="000000"/>
          <w:sz w:val="22"/>
          <w:szCs w:val="22"/>
        </w:rPr>
        <w:t>no.08</w:t>
      </w:r>
      <w:r w:rsidRPr="006835B2">
        <w:rPr>
          <w:rStyle w:val="atn"/>
          <w:color w:val="000000"/>
          <w:sz w:val="22"/>
          <w:szCs w:val="22"/>
        </w:rPr>
        <w:t>-</w:t>
      </w:r>
      <w:r w:rsidRPr="006835B2">
        <w:rPr>
          <w:rStyle w:val="longtext"/>
          <w:color w:val="000000"/>
          <w:sz w:val="22"/>
          <w:szCs w:val="22"/>
        </w:rPr>
        <w:t xml:space="preserve">17077 / 1 </w:t>
      </w:r>
      <w:r w:rsidRPr="006835B2">
        <w:rPr>
          <w:rStyle w:val="hps"/>
          <w:color w:val="000000"/>
          <w:sz w:val="22"/>
          <w:szCs w:val="22"/>
        </w:rPr>
        <w:t>from07.08.2003</w:t>
      </w:r>
      <w:r w:rsidRPr="006835B2">
        <w:rPr>
          <w:rStyle w:val="longtext"/>
          <w:color w:val="000000"/>
          <w:sz w:val="22"/>
          <w:szCs w:val="22"/>
        </w:rPr>
        <w:t xml:space="preserve">, and </w:t>
      </w:r>
      <w:r w:rsidRPr="006835B2">
        <w:rPr>
          <w:rStyle w:val="hps"/>
          <w:color w:val="000000"/>
          <w:sz w:val="22"/>
          <w:szCs w:val="22"/>
        </w:rPr>
        <w:t>amendingNo.10</w:t>
      </w:r>
      <w:r w:rsidRPr="006835B2">
        <w:rPr>
          <w:rStyle w:val="atn"/>
          <w:color w:val="000000"/>
          <w:sz w:val="22"/>
          <w:szCs w:val="22"/>
        </w:rPr>
        <w:t>-</w:t>
      </w:r>
      <w:r w:rsidRPr="006835B2">
        <w:rPr>
          <w:rStyle w:val="longtext"/>
          <w:color w:val="000000"/>
          <w:sz w:val="22"/>
          <w:szCs w:val="22"/>
        </w:rPr>
        <w:t xml:space="preserve">3780 / 1 </w:t>
      </w:r>
      <w:r w:rsidRPr="006835B2">
        <w:rPr>
          <w:rStyle w:val="hps"/>
          <w:color w:val="000000"/>
          <w:sz w:val="22"/>
          <w:szCs w:val="22"/>
        </w:rPr>
        <w:t>of10.02.2005year</w:t>
      </w:r>
    </w:p>
    <w:p w:rsidR="003436FE" w:rsidRPr="002B370E" w:rsidRDefault="003436FE" w:rsidP="003436FE">
      <w:pPr>
        <w:spacing w:after="120"/>
        <w:rPr>
          <w:sz w:val="22"/>
          <w:szCs w:val="22"/>
        </w:rPr>
      </w:pPr>
    </w:p>
    <w:p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solutions</w:t>
      </w:r>
    </w:p>
    <w:p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3436FE" w:rsidRPr="002B370E" w:rsidRDefault="003436FE" w:rsidP="003436FE">
      <w:pPr>
        <w:keepNext/>
        <w:keepLines/>
        <w:numPr>
          <w:ilvl w:val="0"/>
          <w:numId w:val="26"/>
        </w:numPr>
        <w:spacing w:before="120" w:after="120"/>
        <w:jc w:val="both"/>
        <w:rPr>
          <w:b/>
          <w:sz w:val="24"/>
          <w:szCs w:val="24"/>
        </w:rPr>
      </w:pPr>
      <w:r w:rsidRPr="002B370E">
        <w:rPr>
          <w:b/>
          <w:sz w:val="24"/>
          <w:szCs w:val="24"/>
        </w:rPr>
        <w:lastRenderedPageBreak/>
        <w:t>Period during which tenders are binding</w:t>
      </w:r>
    </w:p>
    <w:p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632671">
        <w:rPr>
          <w:sz w:val="22"/>
          <w:szCs w:val="22"/>
        </w:rPr>
        <w:t>non-award</w:t>
      </w:r>
      <w:r w:rsidRPr="002B370E">
        <w:rPr>
          <w:sz w:val="22"/>
          <w:szCs w:val="22"/>
        </w:rPr>
        <w:t xml:space="preserve">. </w:t>
      </w:r>
      <w:r w:rsidR="00BA15F8" w:rsidRPr="00BA15F8">
        <w:rPr>
          <w:sz w:val="22"/>
          <w:szCs w:val="22"/>
        </w:rPr>
        <w:t>In exceptional cases, before the period of validity expires, the contracting authority may ask tenderers to extend the period for a specific number of days, which may not exceed 40</w:t>
      </w:r>
      <w:r w:rsidR="00BA15F8">
        <w:rPr>
          <w:sz w:val="22"/>
          <w:szCs w:val="22"/>
        </w:rPr>
        <w:t>.</w:t>
      </w:r>
    </w:p>
    <w:p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rsidR="003436FE" w:rsidRPr="002B370E" w:rsidRDefault="003436FE" w:rsidP="003436FE">
      <w:pPr>
        <w:keepNext/>
        <w:numPr>
          <w:ilvl w:val="0"/>
          <w:numId w:val="26"/>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rsidR="00BA15F8" w:rsidRDefault="00BA15F8" w:rsidP="00BA15F8">
      <w:pPr>
        <w:spacing w:before="120" w:after="120"/>
        <w:jc w:val="both"/>
      </w:pPr>
    </w:p>
    <w:p w:rsidR="00BA15F8" w:rsidRPr="00510846" w:rsidRDefault="00BA15F8" w:rsidP="00BA15F8">
      <w:pPr>
        <w:keepNext/>
        <w:spacing w:before="120" w:after="120"/>
        <w:jc w:val="both"/>
        <w:rPr>
          <w:sz w:val="22"/>
          <w:szCs w:val="22"/>
        </w:rPr>
      </w:pPr>
      <w:r w:rsidRPr="002231C0">
        <w:rPr>
          <w:sz w:val="22"/>
          <w:szCs w:val="22"/>
        </w:rPr>
        <w:t xml:space="preserve">Tenderers may submit questions in writing to the following address up to </w:t>
      </w:r>
      <w:r w:rsidR="002231C0" w:rsidRPr="002231C0">
        <w:rPr>
          <w:sz w:val="22"/>
          <w:szCs w:val="22"/>
        </w:rPr>
        <w:t>5</w:t>
      </w:r>
      <w:r w:rsidR="008E5B25" w:rsidRPr="002231C0">
        <w:rPr>
          <w:snapToGrid w:val="0"/>
          <w:sz w:val="22"/>
          <w:szCs w:val="22"/>
        </w:rPr>
        <w:t xml:space="preserve"> days </w:t>
      </w:r>
      <w:r w:rsidRPr="002231C0">
        <w:rPr>
          <w:sz w:val="22"/>
          <w:szCs w:val="22"/>
        </w:rPr>
        <w:t>before the deadline for submission of tenders, specifying the publication reference and the contract title:</w:t>
      </w:r>
    </w:p>
    <w:p w:rsidR="00BA15F8" w:rsidRPr="002B370E" w:rsidRDefault="002231C0" w:rsidP="00E07245">
      <w:pPr>
        <w:pStyle w:val="BodyText"/>
        <w:spacing w:before="240"/>
        <w:rPr>
          <w:sz w:val="22"/>
          <w:szCs w:val="22"/>
        </w:rPr>
      </w:pPr>
      <w:r w:rsidRPr="00EB2BC7">
        <w:rPr>
          <w:sz w:val="22"/>
          <w:szCs w:val="22"/>
        </w:rPr>
        <w:t xml:space="preserve">Municipality of </w:t>
      </w:r>
      <w:r w:rsidR="006835B2">
        <w:rPr>
          <w:sz w:val="22"/>
          <w:szCs w:val="22"/>
        </w:rPr>
        <w:t>Negotino</w:t>
      </w:r>
      <w:r w:rsidR="00BA15F8" w:rsidRPr="00EB2BC7">
        <w:rPr>
          <w:sz w:val="22"/>
          <w:szCs w:val="22"/>
        </w:rPr>
        <w:br/>
      </w:r>
      <w:r w:rsidR="00EB2BC7" w:rsidRPr="00EB2BC7">
        <w:rPr>
          <w:sz w:val="22"/>
          <w:szCs w:val="22"/>
        </w:rPr>
        <w:t>str.</w:t>
      </w:r>
      <w:r w:rsidR="006835B2">
        <w:rPr>
          <w:sz w:val="22"/>
          <w:szCs w:val="22"/>
        </w:rPr>
        <w:t>Aco AdziIlov</w:t>
      </w:r>
      <w:r w:rsidR="00EB2BC7" w:rsidRPr="00EB2BC7">
        <w:rPr>
          <w:sz w:val="22"/>
          <w:szCs w:val="22"/>
        </w:rPr>
        <w:t xml:space="preserve"> no.</w:t>
      </w:r>
      <w:r w:rsidR="006835B2">
        <w:rPr>
          <w:sz w:val="22"/>
          <w:szCs w:val="22"/>
        </w:rPr>
        <w:t>2</w:t>
      </w:r>
      <w:r w:rsidR="00EB2BC7" w:rsidRPr="00EB2BC7">
        <w:rPr>
          <w:sz w:val="22"/>
          <w:szCs w:val="22"/>
        </w:rPr>
        <w:t xml:space="preserve">, </w:t>
      </w:r>
      <w:r w:rsidR="006835B2">
        <w:rPr>
          <w:sz w:val="22"/>
          <w:szCs w:val="22"/>
        </w:rPr>
        <w:t>Negotino</w:t>
      </w:r>
      <w:r w:rsidR="00BA15F8" w:rsidRPr="00EB2BC7">
        <w:rPr>
          <w:sz w:val="22"/>
          <w:szCs w:val="22"/>
        </w:rPr>
        <w:br/>
      </w:r>
      <w:r w:rsidR="006835B2">
        <w:rPr>
          <w:sz w:val="22"/>
          <w:szCs w:val="22"/>
        </w:rPr>
        <w:t>e</w:t>
      </w:r>
      <w:r w:rsidR="00BA15F8" w:rsidRPr="00EB2BC7">
        <w:rPr>
          <w:sz w:val="22"/>
          <w:szCs w:val="22"/>
        </w:rPr>
        <w:t>-mail:</w:t>
      </w:r>
      <w:r w:rsidR="006835B2" w:rsidRPr="006835B2">
        <w:rPr>
          <w:sz w:val="22"/>
          <w:szCs w:val="22"/>
        </w:rPr>
        <w:t>lidijakostadinova@yahoo.com</w:t>
      </w:r>
    </w:p>
    <w:p w:rsidR="003436FE" w:rsidRPr="002B370E" w:rsidRDefault="003436FE" w:rsidP="00E07245">
      <w:pPr>
        <w:pStyle w:val="BodyText"/>
        <w:spacing w:before="120" w:after="120"/>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sidRPr="006B373C">
        <w:rPr>
          <w:sz w:val="22"/>
          <w:szCs w:val="22"/>
        </w:rPr>
        <w:t xml:space="preserve">Any clarification of the tender dossier will be communicated simultaneously to all tenderers at the latest </w:t>
      </w:r>
      <w:r w:rsidR="00EB2BC7">
        <w:rPr>
          <w:sz w:val="22"/>
          <w:szCs w:val="22"/>
        </w:rPr>
        <w:t>5</w:t>
      </w:r>
      <w:r w:rsidR="006B373C" w:rsidRPr="006B373C">
        <w:rPr>
          <w:sz w:val="22"/>
          <w:szCs w:val="22"/>
        </w:rPr>
        <w:t xml:space="preserve"> calendar days before the deadline for submitting tenders. </w:t>
      </w:r>
    </w:p>
    <w:p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rsidR="003436FE" w:rsidRPr="002B370E" w:rsidRDefault="003436FE" w:rsidP="003436FE">
      <w:pPr>
        <w:keepNext/>
        <w:numPr>
          <w:ilvl w:val="0"/>
          <w:numId w:val="26"/>
        </w:numPr>
        <w:spacing w:before="120" w:after="120"/>
        <w:jc w:val="both"/>
        <w:rPr>
          <w:b/>
          <w:sz w:val="24"/>
          <w:szCs w:val="24"/>
        </w:rPr>
      </w:pPr>
      <w:bookmarkStart w:id="2" w:name="_Ref499614274"/>
      <w:bookmarkStart w:id="3" w:name="_Ref499982672"/>
      <w:r w:rsidRPr="002B370E">
        <w:rPr>
          <w:b/>
          <w:sz w:val="24"/>
          <w:szCs w:val="24"/>
        </w:rPr>
        <w:t>Submission of tenders</w:t>
      </w:r>
      <w:bookmarkEnd w:id="2"/>
      <w:bookmarkEnd w:id="3"/>
    </w:p>
    <w:p w:rsidR="00E240F2" w:rsidRPr="00EB2BC7" w:rsidRDefault="00E240F2" w:rsidP="00E240F2">
      <w:pPr>
        <w:spacing w:before="120" w:after="120"/>
        <w:jc w:val="both"/>
        <w:rPr>
          <w:sz w:val="22"/>
          <w:szCs w:val="22"/>
        </w:rPr>
      </w:pPr>
      <w:r w:rsidRPr="00EB2BC7">
        <w:rPr>
          <w:sz w:val="22"/>
          <w:szCs w:val="22"/>
        </w:rPr>
        <w:t xml:space="preserve">Tenders must be sent to the contracting authority before </w:t>
      </w:r>
      <w:r w:rsidR="006835B2">
        <w:rPr>
          <w:sz w:val="22"/>
          <w:szCs w:val="22"/>
        </w:rPr>
        <w:t>29</w:t>
      </w:r>
      <w:r w:rsidR="00EB2BC7" w:rsidRPr="00EB2BC7">
        <w:rPr>
          <w:sz w:val="22"/>
          <w:szCs w:val="22"/>
        </w:rPr>
        <w:t>.</w:t>
      </w:r>
      <w:r w:rsidR="006835B2">
        <w:rPr>
          <w:sz w:val="22"/>
          <w:szCs w:val="22"/>
        </w:rPr>
        <w:t>11</w:t>
      </w:r>
      <w:r w:rsidR="00EB2BC7" w:rsidRPr="00EB2BC7">
        <w:rPr>
          <w:sz w:val="22"/>
          <w:szCs w:val="22"/>
        </w:rPr>
        <w:t>.2024 16.00 hr</w:t>
      </w:r>
      <w:r w:rsidRPr="00EB2BC7">
        <w:rPr>
          <w:sz w:val="22"/>
          <w:szCs w:val="22"/>
        </w:rPr>
        <w:t xml:space="preserve">. </w:t>
      </w:r>
    </w:p>
    <w:p w:rsidR="00E240F2" w:rsidRPr="002B370E" w:rsidRDefault="00E240F2" w:rsidP="00E240F2">
      <w:pPr>
        <w:spacing w:before="120" w:after="120"/>
        <w:jc w:val="both"/>
        <w:rPr>
          <w:sz w:val="22"/>
          <w:szCs w:val="22"/>
        </w:rPr>
      </w:pPr>
      <w:r w:rsidRPr="00EB2BC7">
        <w:rPr>
          <w:sz w:val="22"/>
          <w:szCs w:val="22"/>
        </w:rPr>
        <w:t>They must include the requested documents in clause 4 above and be sent:</w:t>
      </w:r>
    </w:p>
    <w:p w:rsidR="00E240F2" w:rsidRPr="00EB2BC7" w:rsidRDefault="00E240F2" w:rsidP="00E240F2">
      <w:pPr>
        <w:keepNext/>
        <w:keepLines/>
        <w:spacing w:before="120" w:after="120"/>
        <w:ind w:left="360"/>
        <w:jc w:val="both"/>
        <w:rPr>
          <w:sz w:val="22"/>
          <w:szCs w:val="22"/>
        </w:rPr>
      </w:pPr>
      <w:r w:rsidRPr="00EB2BC7">
        <w:rPr>
          <w:b/>
          <w:sz w:val="22"/>
          <w:szCs w:val="22"/>
        </w:rPr>
        <w:t>EITHER</w:t>
      </w:r>
      <w:r w:rsidRPr="00EB2BC7">
        <w:rPr>
          <w:sz w:val="22"/>
          <w:szCs w:val="22"/>
        </w:rPr>
        <w:t xml:space="preserve"> by post or by courier service, in which case the evidence shall be constituted by the postmark or the date of the deposit slip</w:t>
      </w:r>
      <w:r w:rsidRPr="00EB2BC7">
        <w:rPr>
          <w:rStyle w:val="FootnoteReference"/>
          <w:sz w:val="22"/>
          <w:szCs w:val="22"/>
        </w:rPr>
        <w:footnoteReference w:id="3"/>
      </w:r>
      <w:r w:rsidRPr="00EB2BC7">
        <w:rPr>
          <w:sz w:val="22"/>
          <w:szCs w:val="22"/>
        </w:rPr>
        <w:t>, to:</w:t>
      </w:r>
    </w:p>
    <w:p w:rsidR="00E240F2" w:rsidRDefault="006835B2" w:rsidP="00E240F2">
      <w:pPr>
        <w:pStyle w:val="Blockquote"/>
        <w:keepNext/>
        <w:keepLines/>
        <w:spacing w:before="120" w:after="120"/>
        <w:jc w:val="center"/>
        <w:rPr>
          <w:rStyle w:val="Emphasis"/>
          <w:i w:val="0"/>
          <w:sz w:val="22"/>
          <w:szCs w:val="22"/>
          <w:lang w:val="en-GB"/>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E240F2" w:rsidRPr="002B370E" w:rsidRDefault="00E240F2" w:rsidP="00E240F2">
      <w:pPr>
        <w:pStyle w:val="Blockquote"/>
        <w:keepNext/>
        <w:keepLines/>
        <w:spacing w:before="120" w:after="120"/>
        <w:jc w:val="both"/>
        <w:rPr>
          <w:sz w:val="22"/>
          <w:szCs w:val="22"/>
        </w:rPr>
      </w:pPr>
      <w:r w:rsidRPr="00EB2BC7">
        <w:rPr>
          <w:b/>
          <w:sz w:val="22"/>
          <w:szCs w:val="22"/>
        </w:rPr>
        <w:t>OR</w:t>
      </w:r>
      <w:r w:rsidRPr="00EB2BC7">
        <w:rPr>
          <w:rStyle w:val="Strong"/>
          <w:b w:val="0"/>
          <w:sz w:val="22"/>
          <w:szCs w:val="22"/>
        </w:rPr>
        <w:t>hand delivered</w:t>
      </w:r>
      <w:r w:rsidRPr="00EB2BC7">
        <w:rPr>
          <w:sz w:val="22"/>
          <w:szCs w:val="22"/>
          <w:lang w:val="en-GB"/>
        </w:rPr>
        <w:t>by the participant in person or by an agent</w:t>
      </w:r>
      <w:r w:rsidRPr="00EB2BC7">
        <w:rPr>
          <w:rStyle w:val="Strong"/>
          <w:b w:val="0"/>
          <w:sz w:val="22"/>
          <w:szCs w:val="22"/>
          <w:lang w:val="en-GB"/>
        </w:rPr>
        <w:t xml:space="preserve"> directly</w:t>
      </w:r>
      <w:r w:rsidRPr="00EB2BC7">
        <w:rPr>
          <w:sz w:val="22"/>
          <w:szCs w:val="22"/>
          <w:lang w:val="en-GB"/>
        </w:rPr>
        <w:t xml:space="preserve"> to the premises of the contracting authority in return for a </w:t>
      </w:r>
      <w:r w:rsidRPr="00EB2BC7">
        <w:rPr>
          <w:rStyle w:val="Strong"/>
          <w:b w:val="0"/>
          <w:sz w:val="22"/>
          <w:szCs w:val="22"/>
          <w:lang w:val="en-GB"/>
        </w:rPr>
        <w:t>signed and dated receipt</w:t>
      </w:r>
      <w:r w:rsidRPr="00EB2BC7">
        <w:rPr>
          <w:sz w:val="22"/>
          <w:szCs w:val="22"/>
          <w:lang w:val="en-GB"/>
        </w:rPr>
        <w:t xml:space="preserve">, in which case the evidence shall be constituted by this acknowledgement of receipt, </w:t>
      </w:r>
      <w:r w:rsidRPr="00EB2BC7">
        <w:rPr>
          <w:sz w:val="22"/>
          <w:szCs w:val="22"/>
        </w:rPr>
        <w:t>to:</w:t>
      </w:r>
    </w:p>
    <w:p w:rsidR="006835B2" w:rsidRDefault="006835B2" w:rsidP="00E240F2">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E240F2" w:rsidRDefault="00EB2BC7" w:rsidP="00E240F2">
      <w:pPr>
        <w:pStyle w:val="Blockquote"/>
        <w:spacing w:before="120" w:after="120"/>
        <w:jc w:val="center"/>
        <w:rPr>
          <w:rStyle w:val="Emphasis"/>
          <w:i w:val="0"/>
          <w:sz w:val="22"/>
          <w:szCs w:val="22"/>
          <w:lang w:val="en-GB"/>
        </w:rPr>
      </w:pPr>
      <w:r>
        <w:rPr>
          <w:sz w:val="22"/>
          <w:szCs w:val="22"/>
        </w:rPr>
        <w:lastRenderedPageBreak/>
        <w:t>08.00 – 16.00 – opening hours</w:t>
      </w:r>
      <w:r w:rsidR="00E240F2" w:rsidRPr="002B370E">
        <w:rPr>
          <w:rStyle w:val="Emphasis"/>
          <w:sz w:val="22"/>
          <w:szCs w:val="22"/>
          <w:lang w:val="en-GB"/>
        </w:rPr>
        <w:br/>
      </w:r>
    </w:p>
    <w:p w:rsidR="00E240F2" w:rsidRPr="00B33686" w:rsidRDefault="00E240F2" w:rsidP="00E240F2">
      <w:pPr>
        <w:pStyle w:val="Blockquote"/>
        <w:ind w:left="0" w:right="26"/>
        <w:jc w:val="both"/>
        <w:rPr>
          <w:rStyle w:val="Strong"/>
          <w:snapToGrid/>
          <w:sz w:val="22"/>
          <w:szCs w:val="22"/>
          <w:lang w:val="en-GB" w:eastAsia="en-GB"/>
        </w:rPr>
      </w:pPr>
      <w:r w:rsidRPr="00B33686">
        <w:rPr>
          <w:sz w:val="22"/>
          <w:szCs w:val="22"/>
        </w:rPr>
        <w:t>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p>
    <w:p w:rsidR="00E240F2" w:rsidRPr="00B33686" w:rsidRDefault="00E240F2" w:rsidP="00E240F2">
      <w:pPr>
        <w:spacing w:before="120" w:after="120"/>
        <w:jc w:val="both"/>
        <w:rPr>
          <w:sz w:val="22"/>
          <w:szCs w:val="22"/>
        </w:rPr>
      </w:pPr>
      <w:r w:rsidRPr="00B33686">
        <w:rPr>
          <w:sz w:val="22"/>
          <w:szCs w:val="22"/>
        </w:rPr>
        <w:t>Tenders must be submitted using the double envelope system, i.e. in an outer parcel or envelope containing two separate, sealed envelopes, one bearing the words ‘</w:t>
      </w:r>
      <w:r w:rsidRPr="00B33686">
        <w:rPr>
          <w:b/>
          <w:sz w:val="22"/>
          <w:szCs w:val="22"/>
        </w:rPr>
        <w:t>Envelope A — Technical offer’</w:t>
      </w:r>
      <w:r w:rsidRPr="00B33686">
        <w:rPr>
          <w:sz w:val="22"/>
          <w:szCs w:val="22"/>
        </w:rPr>
        <w:t xml:space="preserve"> and the other ‘</w:t>
      </w:r>
      <w:r w:rsidRPr="00B33686">
        <w:rPr>
          <w:b/>
          <w:sz w:val="22"/>
          <w:szCs w:val="22"/>
        </w:rPr>
        <w:t>Envelope B — Financial offer’</w:t>
      </w:r>
      <w:r w:rsidRPr="00B33686">
        <w:rPr>
          <w:sz w:val="22"/>
          <w:szCs w:val="22"/>
        </w:rPr>
        <w:t>. All parts of the tender other than the financial offer must be submitted in Envelope A (i.e. including the tender submission form, statements of exclusivity and availability of the key experts and declarations).</w:t>
      </w:r>
    </w:p>
    <w:p w:rsidR="00E240F2" w:rsidRPr="00B33686" w:rsidRDefault="00E240F2" w:rsidP="00E240F2">
      <w:pPr>
        <w:spacing w:before="120" w:after="120"/>
        <w:jc w:val="both"/>
        <w:rPr>
          <w:sz w:val="22"/>
          <w:szCs w:val="22"/>
        </w:rPr>
      </w:pPr>
      <w:r w:rsidRPr="00B33686">
        <w:rPr>
          <w:sz w:val="22"/>
          <w:szCs w:val="22"/>
        </w:rPr>
        <w:t xml:space="preserve">The outer envelope should provide the following information: </w:t>
      </w:r>
    </w:p>
    <w:p w:rsidR="00E240F2" w:rsidRPr="00B33686" w:rsidRDefault="00E240F2" w:rsidP="00E240F2">
      <w:pPr>
        <w:numPr>
          <w:ilvl w:val="0"/>
          <w:numId w:val="24"/>
        </w:numPr>
        <w:tabs>
          <w:tab w:val="clear" w:pos="861"/>
        </w:tabs>
        <w:spacing w:before="120" w:after="120"/>
        <w:ind w:left="426" w:hanging="284"/>
        <w:rPr>
          <w:sz w:val="22"/>
          <w:szCs w:val="22"/>
        </w:rPr>
      </w:pPr>
      <w:r w:rsidRPr="00B33686">
        <w:rPr>
          <w:sz w:val="22"/>
          <w:szCs w:val="22"/>
        </w:rPr>
        <w:t xml:space="preserve">the address for submitting tenders indicated above; </w:t>
      </w:r>
    </w:p>
    <w:p w:rsidR="00E240F2" w:rsidRPr="00B33686" w:rsidRDefault="00E240F2" w:rsidP="00E07245">
      <w:pPr>
        <w:spacing w:before="120" w:after="120"/>
        <w:ind w:firstLine="142"/>
        <w:rPr>
          <w:sz w:val="22"/>
          <w:szCs w:val="22"/>
        </w:rPr>
      </w:pPr>
      <w:r w:rsidRPr="00B33686">
        <w:rPr>
          <w:sz w:val="22"/>
          <w:szCs w:val="22"/>
        </w:rPr>
        <w:t>b)  the reference code of the tender procedure (i.e.&lt;publication reference&gt;);</w:t>
      </w:r>
    </w:p>
    <w:p w:rsidR="00E240F2" w:rsidRPr="00B33686" w:rsidRDefault="00E240F2" w:rsidP="00E07245">
      <w:pPr>
        <w:spacing w:before="120" w:after="120"/>
        <w:ind w:left="142"/>
        <w:rPr>
          <w:sz w:val="22"/>
          <w:szCs w:val="22"/>
        </w:rPr>
      </w:pPr>
      <w:r w:rsidRPr="00B33686">
        <w:rPr>
          <w:sz w:val="22"/>
          <w:szCs w:val="22"/>
        </w:rPr>
        <w:t>c)</w:t>
      </w:r>
      <w:r w:rsidRPr="00B33686">
        <w:rPr>
          <w:sz w:val="22"/>
          <w:szCs w:val="22"/>
        </w:rPr>
        <w:tab/>
        <w:t xml:space="preserve">the words ‘Not to be opened before the tender-opening session’ and </w:t>
      </w:r>
      <w:r w:rsidR="00B33686">
        <w:rPr>
          <w:sz w:val="22"/>
          <w:szCs w:val="22"/>
        </w:rPr>
        <w:t>“</w:t>
      </w:r>
      <w:r w:rsidR="00B33686">
        <w:rPr>
          <w:sz w:val="22"/>
          <w:szCs w:val="22"/>
          <w:lang w:val="mk-MK"/>
        </w:rPr>
        <w:t>Да не се отвара пред официјалното отворање на понудите</w:t>
      </w:r>
      <w:r w:rsidR="00B33686">
        <w:rPr>
          <w:sz w:val="22"/>
          <w:szCs w:val="22"/>
          <w:lang w:val="en-US"/>
        </w:rPr>
        <w:t>”</w:t>
      </w:r>
      <w:r w:rsidRPr="00B33686">
        <w:rPr>
          <w:sz w:val="22"/>
          <w:szCs w:val="22"/>
        </w:rPr>
        <w:t>;</w:t>
      </w:r>
    </w:p>
    <w:p w:rsidR="00E240F2" w:rsidRPr="00B33686" w:rsidRDefault="00E240F2" w:rsidP="00E07245">
      <w:pPr>
        <w:spacing w:before="120" w:after="120"/>
        <w:ind w:firstLine="142"/>
        <w:rPr>
          <w:sz w:val="22"/>
          <w:szCs w:val="22"/>
        </w:rPr>
      </w:pPr>
      <w:r w:rsidRPr="00B33686">
        <w:rPr>
          <w:sz w:val="22"/>
          <w:szCs w:val="22"/>
        </w:rPr>
        <w:t>d)</w:t>
      </w:r>
      <w:r w:rsidRPr="00B33686">
        <w:rPr>
          <w:sz w:val="22"/>
          <w:szCs w:val="22"/>
        </w:rPr>
        <w:tab/>
        <w:t>the name of the tenderer.</w:t>
      </w:r>
    </w:p>
    <w:p w:rsidR="00E240F2" w:rsidRDefault="00E240F2" w:rsidP="00E07245">
      <w:pPr>
        <w:spacing w:before="120" w:after="120"/>
        <w:ind w:left="142"/>
        <w:rPr>
          <w:sz w:val="22"/>
          <w:szCs w:val="22"/>
        </w:rPr>
      </w:pPr>
      <w:r w:rsidRPr="00B33686">
        <w:rPr>
          <w:sz w:val="22"/>
          <w:szCs w:val="22"/>
        </w:rPr>
        <w:t>Each envelope must include an index of its contents. The pages of the technical and financial offers must be numbered.]</w:t>
      </w:r>
    </w:p>
    <w:p w:rsidR="003436FE" w:rsidRPr="002B370E" w:rsidRDefault="003436FE" w:rsidP="003436FE">
      <w:pPr>
        <w:spacing w:before="120" w:after="120"/>
        <w:jc w:val="both"/>
        <w:rPr>
          <w:sz w:val="22"/>
          <w:szCs w:val="22"/>
        </w:rPr>
      </w:pPr>
    </w:p>
    <w:p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rsidR="00BA4FCD" w:rsidRPr="00B33686" w:rsidRDefault="00BA4FCD" w:rsidP="00BA4FCD">
      <w:pPr>
        <w:spacing w:before="120" w:after="120"/>
        <w:jc w:val="both"/>
        <w:rPr>
          <w:sz w:val="22"/>
          <w:szCs w:val="22"/>
        </w:rPr>
      </w:pPr>
      <w:r w:rsidRPr="00B33686">
        <w:rPr>
          <w:sz w:val="22"/>
          <w:szCs w:val="22"/>
        </w:rPr>
        <w:t>Tenderers may amend or withdraw their tenders by written notification prior to the deadline for submitting tenders. Tenders may not be amended after this deadline.</w:t>
      </w:r>
    </w:p>
    <w:p w:rsidR="00BA4FCD" w:rsidRPr="002B370E" w:rsidRDefault="00BA4FCD" w:rsidP="00BA4FCD">
      <w:pPr>
        <w:spacing w:before="120" w:after="120"/>
        <w:jc w:val="both"/>
        <w:rPr>
          <w:sz w:val="22"/>
          <w:szCs w:val="22"/>
        </w:rPr>
      </w:pPr>
      <w:r w:rsidRPr="00B33686">
        <w:rPr>
          <w:sz w:val="22"/>
          <w:szCs w:val="22"/>
        </w:rPr>
        <w:t xml:space="preserve">Any such notification of amendment or withdrawal must be prepared and submitted in accordance with clause </w:t>
      </w:r>
      <w:fldSimple w:instr=" REF _Ref499982672 \r \h  \* MERGEFORMAT ">
        <w:r w:rsidR="00C11763" w:rsidRPr="00C11763">
          <w:rPr>
            <w:sz w:val="22"/>
            <w:szCs w:val="22"/>
          </w:rPr>
          <w:t>8</w:t>
        </w:r>
      </w:fldSimple>
      <w:r w:rsidRPr="00B33686">
        <w:rPr>
          <w:sz w:val="22"/>
          <w:szCs w:val="22"/>
        </w:rPr>
        <w:t>. The outer envelope (and the relevant inner envelope) must be marked ‘Amendment’ or ‘Withdrawal’ as appropriate.</w:t>
      </w:r>
    </w:p>
    <w:p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3436FE" w:rsidRPr="002B370E" w:rsidRDefault="003436FE" w:rsidP="003436FE">
      <w:pPr>
        <w:numPr>
          <w:ilvl w:val="0"/>
          <w:numId w:val="26"/>
        </w:numPr>
        <w:spacing w:before="120" w:after="120"/>
        <w:jc w:val="both"/>
        <w:rPr>
          <w:b/>
          <w:sz w:val="24"/>
          <w:szCs w:val="24"/>
        </w:rPr>
      </w:pPr>
      <w:r w:rsidRPr="002B370E">
        <w:rPr>
          <w:b/>
          <w:sz w:val="24"/>
          <w:szCs w:val="24"/>
        </w:rPr>
        <w:t>Evaluation of tenders</w:t>
      </w:r>
    </w:p>
    <w:p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rsidR="003436FE" w:rsidRPr="002B370E" w:rsidRDefault="003436FE" w:rsidP="00A94AD3">
      <w:pPr>
        <w:spacing w:before="120" w:after="120"/>
        <w:jc w:val="both"/>
        <w:rPr>
          <w:sz w:val="22"/>
          <w:szCs w:val="22"/>
        </w:rPr>
      </w:pPr>
      <w:r w:rsidRPr="002B370E">
        <w:rPr>
          <w:sz w:val="22"/>
          <w:szCs w:val="22"/>
        </w:rPr>
        <w:lastRenderedPageBreak/>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rsidR="003436FE" w:rsidRDefault="003436FE" w:rsidP="00A94AD3">
      <w:pPr>
        <w:pStyle w:val="BodyText"/>
        <w:spacing w:before="120" w:after="120"/>
        <w:jc w:val="both"/>
        <w:rPr>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13" w:history="1">
        <w:r w:rsidR="00996707" w:rsidRPr="005D1583">
          <w:rPr>
            <w:rStyle w:val="Hyperlink"/>
            <w:sz w:val="22"/>
            <w:szCs w:val="22"/>
          </w:rPr>
          <w:t>http://ec.europa.eu/europeaid/prag/document.do</w:t>
        </w:r>
      </w:hyperlink>
      <w:r w:rsidRPr="0059570B">
        <w:rPr>
          <w:sz w:val="22"/>
          <w:szCs w:val="22"/>
        </w:rPr>
        <w:t>).</w:t>
      </w:r>
    </w:p>
    <w:p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p>
    <w:p w:rsidR="00BA4FCD" w:rsidRPr="00294800" w:rsidRDefault="00BA4FCD" w:rsidP="00BA4FCD">
      <w:pPr>
        <w:spacing w:before="120" w:after="120"/>
        <w:jc w:val="both"/>
        <w:rPr>
          <w:sz w:val="22"/>
          <w:szCs w:val="22"/>
        </w:rPr>
      </w:pPr>
      <w:r>
        <w:rPr>
          <w:sz w:val="22"/>
          <w:szCs w:val="22"/>
          <w:highlight w:val="lightGray"/>
        </w:rPr>
        <w:t>No interviews are foreseen.</w:t>
      </w:r>
    </w:p>
    <w:p w:rsidR="00BA4FCD" w:rsidRPr="002B370E" w:rsidRDefault="00BA4FCD" w:rsidP="003436FE">
      <w:pPr>
        <w:spacing w:before="120" w:after="120"/>
        <w:jc w:val="both"/>
        <w:rPr>
          <w:sz w:val="22"/>
          <w:szCs w:val="22"/>
        </w:rPr>
      </w:pPr>
    </w:p>
    <w:p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rsidR="00A76872" w:rsidRPr="002B370E" w:rsidRDefault="00A76872" w:rsidP="00A76872">
      <w:pPr>
        <w:spacing w:before="120" w:after="120"/>
        <w:jc w:val="both"/>
        <w:rPr>
          <w:sz w:val="22"/>
          <w:szCs w:val="22"/>
        </w:rPr>
      </w:pPr>
      <w:r w:rsidRPr="00B33686">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rsidR="003436FE" w:rsidRDefault="003436FE" w:rsidP="003436FE">
      <w:pPr>
        <w:spacing w:before="120" w:after="120"/>
        <w:jc w:val="both"/>
        <w:rPr>
          <w:sz w:val="22"/>
          <w:szCs w:val="22"/>
        </w:rPr>
      </w:pPr>
    </w:p>
    <w:p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p>
    <w:p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Pr="002B370E">
        <w:rPr>
          <w:sz w:val="22"/>
          <w:szCs w:val="22"/>
        </w:rPr>
        <w:t>is established by weighing technical quality against price on an 80/20 basis.</w:t>
      </w:r>
    </w:p>
    <w:p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rsidR="003436FE" w:rsidRPr="002B370E" w:rsidRDefault="003436FE" w:rsidP="003436FE">
      <w:pPr>
        <w:keepNext/>
        <w:numPr>
          <w:ilvl w:val="0"/>
          <w:numId w:val="26"/>
        </w:numPr>
        <w:spacing w:before="120" w:after="120"/>
        <w:jc w:val="both"/>
        <w:rPr>
          <w:b/>
          <w:sz w:val="24"/>
          <w:szCs w:val="24"/>
        </w:rPr>
      </w:pPr>
      <w:r w:rsidRPr="002B370E">
        <w:rPr>
          <w:b/>
          <w:sz w:val="24"/>
          <w:szCs w:val="24"/>
        </w:rPr>
        <w:t>Ethics clauses / Corruptive practices</w:t>
      </w:r>
    </w:p>
    <w:p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rsidR="00121005" w:rsidRDefault="00121005" w:rsidP="003436FE">
      <w:pPr>
        <w:spacing w:before="120" w:after="120"/>
        <w:ind w:left="567" w:hanging="567"/>
        <w:jc w:val="both"/>
        <w:rPr>
          <w:sz w:val="22"/>
          <w:szCs w:val="22"/>
        </w:rPr>
      </w:pP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rsidR="00121005" w:rsidRDefault="00121005" w:rsidP="003436FE">
      <w:pPr>
        <w:spacing w:before="120" w:after="120"/>
        <w:ind w:left="567" w:hanging="567"/>
        <w:jc w:val="both"/>
        <w:rPr>
          <w:sz w:val="22"/>
          <w:szCs w:val="22"/>
        </w:rPr>
      </w:pPr>
      <w:r w:rsidRPr="00121005">
        <w:rPr>
          <w:sz w:val="22"/>
          <w:szCs w:val="22"/>
        </w:rPr>
        <w:t xml:space="preserve"> The tenderer and its </w:t>
      </w:r>
      <w:r w:rsidR="00B370D2" w:rsidRPr="00E07245">
        <w:rPr>
          <w:sz w:val="22"/>
          <w:szCs w:val="22"/>
        </w:rPr>
        <w:t>personnel</w:t>
      </w:r>
      <w:r w:rsidRPr="00121005">
        <w:rPr>
          <w:sz w:val="22"/>
          <w:szCs w:val="22"/>
        </w:rPr>
        <w:t xml:space="preserve"> must comply with human rights</w:t>
      </w:r>
      <w:r w:rsidR="00EB1484">
        <w:rPr>
          <w:sz w:val="22"/>
          <w:szCs w:val="22"/>
        </w:rPr>
        <w:t xml:space="preserve"> and applicable data protection rules</w:t>
      </w:r>
      <w:r w:rsidRPr="00121005">
        <w:rPr>
          <w:sz w:val="22"/>
          <w:szCs w:val="22"/>
        </w:rPr>
        <w:t xml:space="preserve">. In particular and in accordance with the applicable basic act, tenderers and </w:t>
      </w:r>
      <w:r w:rsidRPr="00121005">
        <w:rPr>
          <w:sz w:val="22"/>
          <w:szCs w:val="22"/>
        </w:rPr>
        <w:lastRenderedPageBreak/>
        <w:t>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p>
    <w:p w:rsidR="003436FE" w:rsidRPr="002B370E" w:rsidRDefault="00121005" w:rsidP="003436FE">
      <w:pPr>
        <w:spacing w:before="120" w:after="120"/>
        <w:ind w:left="567" w:hanging="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p>
    <w:p w:rsidR="00121005" w:rsidRPr="00121005" w:rsidRDefault="00121005" w:rsidP="00121005">
      <w:pPr>
        <w:spacing w:before="120" w:after="120"/>
        <w:ind w:left="567" w:hanging="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3436FE" w:rsidRPr="002B370E" w:rsidRDefault="00121005" w:rsidP="009A733A">
      <w:pPr>
        <w:spacing w:before="120" w:after="120"/>
        <w:ind w:left="567" w:hanging="567"/>
        <w:jc w:val="both"/>
        <w:rPr>
          <w:sz w:val="22"/>
          <w:szCs w:val="22"/>
        </w:rPr>
      </w:pP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rsidR="003436FE" w:rsidRPr="002B370E" w:rsidRDefault="003436FE" w:rsidP="003436FE">
      <w:pPr>
        <w:spacing w:before="120" w:after="120"/>
        <w:ind w:left="567" w:hanging="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Signature of contract(s)</w:t>
      </w:r>
    </w:p>
    <w:p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rsidR="003436FE" w:rsidRPr="002B370E" w:rsidRDefault="00A76872" w:rsidP="003436FE">
      <w:pPr>
        <w:keepNext/>
        <w:spacing w:before="120" w:after="120"/>
        <w:jc w:val="both"/>
        <w:rPr>
          <w:sz w:val="22"/>
          <w:szCs w:val="22"/>
        </w:rPr>
      </w:pPr>
      <w:r w:rsidRPr="00B33686">
        <w:rPr>
          <w:sz w:val="22"/>
          <w:szCs w:val="22"/>
        </w:rPr>
        <w:t xml:space="preserve">Tenderers will be notified of the outcome of this procurement procedure in writing. </w:t>
      </w:r>
    </w:p>
    <w:p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the selected tenderer shall sign and date the contract and return it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t>T</w:t>
      </w:r>
      <w:r w:rsidR="00F11E9B" w:rsidRPr="008062AA">
        <w:rPr>
          <w:rStyle w:val="Style11pt"/>
          <w:szCs w:val="22"/>
        </w:rPr>
        <w:t xml:space="preserve">he </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 xml:space="preserve">a notification of award in case of inability to sign the contract with the first ranked tenderer. </w:t>
      </w:r>
      <w:r w:rsidR="007A0123">
        <w:rPr>
          <w:rStyle w:val="Style11pt"/>
        </w:rPr>
        <w:t>The second tenderer may refuse the award of the contract if, when receiving a notification of award, the 90 days of validity of their tender has expired.</w:t>
      </w:r>
    </w:p>
    <w:p w:rsidR="00F11E9B" w:rsidRPr="00F11E9B" w:rsidRDefault="00F11E9B" w:rsidP="00F11E9B">
      <w:pPr>
        <w:pStyle w:val="Style11ptJustifiedAfter12pt"/>
      </w:pPr>
      <w:r w:rsidRPr="00083096">
        <w:rPr>
          <w:rStyle w:val="Style11pt"/>
        </w:rPr>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rsidR="003436FE" w:rsidRPr="002B370E" w:rsidRDefault="003436FE" w:rsidP="003436FE">
      <w:pPr>
        <w:keepNext/>
        <w:numPr>
          <w:ilvl w:val="0"/>
          <w:numId w:val="26"/>
        </w:numPr>
        <w:spacing w:before="120" w:after="120"/>
        <w:jc w:val="both"/>
        <w:rPr>
          <w:b/>
          <w:sz w:val="24"/>
          <w:szCs w:val="24"/>
        </w:rPr>
      </w:pPr>
      <w:r w:rsidRPr="002B370E">
        <w:rPr>
          <w:b/>
          <w:sz w:val="24"/>
          <w:szCs w:val="24"/>
        </w:rPr>
        <w:t>Cancellation of the tender procedure</w:t>
      </w:r>
    </w:p>
    <w:p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rsidR="00A76872" w:rsidRPr="002B370E" w:rsidRDefault="00A76872" w:rsidP="003436FE">
      <w:pPr>
        <w:pStyle w:val="BodyText2"/>
        <w:tabs>
          <w:tab w:val="clear" w:pos="567"/>
          <w:tab w:val="left" w:pos="0"/>
          <w:tab w:val="left" w:pos="630"/>
        </w:tabs>
        <w:spacing w:before="120" w:after="120"/>
        <w:rPr>
          <w:sz w:val="22"/>
          <w:szCs w:val="22"/>
        </w:rPr>
      </w:pPr>
      <w:r w:rsidRPr="00B33686">
        <w:rPr>
          <w:sz w:val="22"/>
          <w:szCs w:val="22"/>
        </w:rPr>
        <w:t>If the tender procedure is cancelled before the outer envelope of any tender has been opened, the unopened and sealed envelopes will be returned to the tenderers.</w:t>
      </w:r>
    </w:p>
    <w:p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Pr="002B370E">
        <w:rPr>
          <w:sz w:val="22"/>
          <w:szCs w:val="22"/>
        </w:rPr>
        <w:t>irregularities</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lastRenderedPageBreak/>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Appeals</w:t>
      </w:r>
    </w:p>
    <w:p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rsidR="00EB1484" w:rsidRPr="00FF1FE0" w:rsidRDefault="00EB1484" w:rsidP="00EB1484">
      <w:pPr>
        <w:keepNext/>
        <w:spacing w:before="120" w:after="120"/>
        <w:jc w:val="both"/>
        <w:rPr>
          <w:b/>
          <w:bCs/>
          <w:sz w:val="24"/>
          <w:szCs w:val="24"/>
        </w:rPr>
      </w:pPr>
      <w:r w:rsidRPr="00FF1FE0">
        <w:rPr>
          <w:b/>
          <w:bCs/>
          <w:sz w:val="24"/>
          <w:szCs w:val="24"/>
        </w:rPr>
        <w:t>17. Data Protection</w:t>
      </w:r>
    </w:p>
    <w:p w:rsidR="00EB1484" w:rsidRPr="00B33686" w:rsidRDefault="00EB1484" w:rsidP="0089466D">
      <w:pPr>
        <w:spacing w:before="120"/>
        <w:jc w:val="both"/>
        <w:rPr>
          <w:sz w:val="22"/>
          <w:szCs w:val="22"/>
        </w:rPr>
      </w:pPr>
      <w:r w:rsidRPr="00B33686">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B33686" w:rsidRPr="00FF1FE0" w:rsidRDefault="00EB1484" w:rsidP="00B33686">
      <w:pPr>
        <w:spacing w:before="120"/>
        <w:jc w:val="both"/>
        <w:rPr>
          <w:sz w:val="22"/>
          <w:szCs w:val="22"/>
        </w:rPr>
      </w:pPr>
      <w:r w:rsidRPr="00B33686">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isthe head of contracts and finance unit R4 of DG Neighbourhood and Enlargement Negotiations</w:t>
      </w:r>
      <w:r w:rsidR="00B33686" w:rsidRPr="00B33686">
        <w:rPr>
          <w:sz w:val="22"/>
          <w:szCs w:val="22"/>
        </w:rPr>
        <w:t>.</w:t>
      </w:r>
    </w:p>
    <w:p w:rsidR="00EB1484" w:rsidRPr="00FF1FE0" w:rsidRDefault="00EB1484" w:rsidP="00EB1484">
      <w:pPr>
        <w:jc w:val="both"/>
        <w:rPr>
          <w:sz w:val="22"/>
          <w:szCs w:val="22"/>
        </w:rPr>
      </w:pPr>
    </w:p>
    <w:p w:rsidR="003436FE" w:rsidRPr="002B370E" w:rsidRDefault="003436FE" w:rsidP="00FF1FE0">
      <w:pPr>
        <w:pStyle w:val="BodyText"/>
        <w:ind w:left="567"/>
        <w:jc w:val="both"/>
        <w:rPr>
          <w:sz w:val="22"/>
          <w:szCs w:val="22"/>
        </w:rPr>
      </w:pPr>
    </w:p>
    <w:p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rsidR="003436FE" w:rsidRPr="002B370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xml:space="preserve">, andcommunicated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sectPr w:rsidR="003436FE" w:rsidRPr="002B370E" w:rsidSect="003436F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5E" w:rsidRDefault="00C16A5E">
      <w:r>
        <w:separator/>
      </w:r>
    </w:p>
  </w:endnote>
  <w:endnote w:type="continuationSeparator" w:id="1">
    <w:p w:rsidR="00C16A5E" w:rsidRDefault="00C16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Default="002F3571">
    <w:pPr>
      <w:pStyle w:val="Footer"/>
      <w:framePr w:wrap="around" w:vAnchor="text" w:hAnchor="margin" w:xAlign="center" w:y="1"/>
      <w:rPr>
        <w:rStyle w:val="PageNumber"/>
      </w:rPr>
    </w:pPr>
    <w:r>
      <w:rPr>
        <w:rStyle w:val="PageNumber"/>
      </w:rPr>
      <w:fldChar w:fldCharType="begin"/>
    </w:r>
    <w:r w:rsidR="00C06F58">
      <w:rPr>
        <w:rStyle w:val="PageNumber"/>
      </w:rPr>
      <w:instrText xml:space="preserve">PAGE  </w:instrText>
    </w:r>
    <w:r>
      <w:rPr>
        <w:rStyle w:val="PageNumber"/>
      </w:rPr>
      <w:fldChar w:fldCharType="separate"/>
    </w:r>
    <w:r w:rsidR="00C06F58">
      <w:rPr>
        <w:rStyle w:val="PageNumber"/>
      </w:rPr>
      <w:t>13</w:t>
    </w:r>
    <w:r>
      <w:rPr>
        <w:rStyle w:val="PageNumber"/>
      </w:rPr>
      <w:fldChar w:fldCharType="end"/>
    </w:r>
  </w:p>
  <w:p w:rsidR="00C06F58" w:rsidRDefault="00C06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2021</w:t>
    </w:r>
    <w:r w:rsidR="008851E7">
      <w:rPr>
        <w:b/>
      </w:rPr>
      <w:t>.1</w:t>
    </w:r>
    <w:r w:rsidR="00C06F58" w:rsidRPr="002B370E">
      <w:rPr>
        <w:rFonts w:ascii="Arial" w:hAnsi="Arial"/>
      </w:rPr>
      <w:tab/>
    </w:r>
    <w:r w:rsidR="00C06F58" w:rsidRPr="00A94AD3">
      <w:rPr>
        <w:sz w:val="18"/>
        <w:szCs w:val="18"/>
      </w:rPr>
      <w:t xml:space="preserve">Page </w:t>
    </w:r>
    <w:r w:rsidR="002F3571" w:rsidRPr="00A94AD3">
      <w:rPr>
        <w:rStyle w:val="PageNumber"/>
        <w:sz w:val="18"/>
        <w:szCs w:val="18"/>
      </w:rPr>
      <w:fldChar w:fldCharType="begin"/>
    </w:r>
    <w:r w:rsidR="00C06F58" w:rsidRPr="00A94AD3">
      <w:rPr>
        <w:rStyle w:val="PageNumber"/>
        <w:sz w:val="18"/>
        <w:szCs w:val="18"/>
      </w:rPr>
      <w:instrText xml:space="preserve"> PAGE </w:instrText>
    </w:r>
    <w:r w:rsidR="002F3571" w:rsidRPr="00A94AD3">
      <w:rPr>
        <w:rStyle w:val="PageNumber"/>
        <w:sz w:val="18"/>
        <w:szCs w:val="18"/>
      </w:rPr>
      <w:fldChar w:fldCharType="separate"/>
    </w:r>
    <w:r w:rsidR="00526D5E">
      <w:rPr>
        <w:rStyle w:val="PageNumber"/>
        <w:noProof/>
        <w:sz w:val="18"/>
        <w:szCs w:val="18"/>
      </w:rPr>
      <w:t>10</w:t>
    </w:r>
    <w:r w:rsidR="002F3571" w:rsidRPr="00A94AD3">
      <w:rPr>
        <w:rStyle w:val="PageNumber"/>
        <w:sz w:val="18"/>
        <w:szCs w:val="18"/>
      </w:rPr>
      <w:fldChar w:fldCharType="end"/>
    </w:r>
    <w:r w:rsidR="00C06F58" w:rsidRPr="00A94AD3">
      <w:rPr>
        <w:rStyle w:val="PageNumber"/>
        <w:sz w:val="18"/>
        <w:szCs w:val="18"/>
      </w:rPr>
      <w:t xml:space="preserve"> of </w:t>
    </w:r>
    <w:r w:rsidR="002F3571" w:rsidRPr="00A94AD3">
      <w:rPr>
        <w:rStyle w:val="PageNumber"/>
        <w:sz w:val="18"/>
        <w:szCs w:val="18"/>
      </w:rPr>
      <w:fldChar w:fldCharType="begin"/>
    </w:r>
    <w:r w:rsidR="00C06F58" w:rsidRPr="00A94AD3">
      <w:rPr>
        <w:rStyle w:val="PageNumber"/>
        <w:sz w:val="18"/>
        <w:szCs w:val="18"/>
      </w:rPr>
      <w:instrText xml:space="preserve"> NUMPAGES </w:instrText>
    </w:r>
    <w:r w:rsidR="002F3571" w:rsidRPr="00A94AD3">
      <w:rPr>
        <w:rStyle w:val="PageNumber"/>
        <w:sz w:val="18"/>
        <w:szCs w:val="18"/>
      </w:rPr>
      <w:fldChar w:fldCharType="separate"/>
    </w:r>
    <w:r w:rsidR="00526D5E">
      <w:rPr>
        <w:rStyle w:val="PageNumber"/>
        <w:noProof/>
        <w:sz w:val="18"/>
        <w:szCs w:val="18"/>
      </w:rPr>
      <w:t>10</w:t>
    </w:r>
    <w:r w:rsidR="002F3571" w:rsidRPr="00A94AD3">
      <w:rPr>
        <w:rStyle w:val="PageNumber"/>
        <w:sz w:val="18"/>
        <w:szCs w:val="18"/>
      </w:rPr>
      <w:fldChar w:fldCharType="end"/>
    </w:r>
  </w:p>
  <w:p w:rsidR="00C06F58" w:rsidRPr="00A94AD3" w:rsidRDefault="002F3571" w:rsidP="003436FE">
    <w:pPr>
      <w:pStyle w:val="Footer"/>
      <w:tabs>
        <w:tab w:val="clear" w:pos="4320"/>
        <w:tab w:val="clear" w:pos="8640"/>
        <w:tab w:val="right" w:pos="8080"/>
      </w:tabs>
      <w:rPr>
        <w:sz w:val="18"/>
        <w:szCs w:val="18"/>
      </w:rPr>
    </w:pPr>
    <w:r w:rsidRPr="00A94AD3">
      <w:rPr>
        <w:sz w:val="18"/>
        <w:szCs w:val="18"/>
      </w:rPr>
      <w:fldChar w:fldCharType="begin"/>
    </w:r>
    <w:r w:rsidR="00C06F58" w:rsidRPr="00A94AD3">
      <w:rPr>
        <w:sz w:val="18"/>
        <w:szCs w:val="18"/>
      </w:rPr>
      <w:instrText xml:space="preserve"> FILENAME </w:instrText>
    </w:r>
    <w:r w:rsidRPr="00A94AD3">
      <w:rPr>
        <w:sz w:val="18"/>
        <w:szCs w:val="18"/>
      </w:rPr>
      <w:fldChar w:fldCharType="separate"/>
    </w:r>
    <w:r w:rsidR="00C11763">
      <w:rPr>
        <w:noProof/>
        <w:sz w:val="18"/>
        <w:szCs w:val="18"/>
      </w:rPr>
      <w:t>b8o5_itt_simp_neg_en</w:t>
    </w:r>
    <w:r w:rsidRPr="00A94AD3">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2F3571" w:rsidRPr="002B370E">
      <w:rPr>
        <w:rStyle w:val="PageNumber"/>
        <w:sz w:val="18"/>
        <w:szCs w:val="18"/>
      </w:rPr>
      <w:fldChar w:fldCharType="begin"/>
    </w:r>
    <w:r w:rsidR="00C06F58" w:rsidRPr="002B370E">
      <w:rPr>
        <w:rStyle w:val="PageNumber"/>
        <w:sz w:val="18"/>
        <w:szCs w:val="18"/>
      </w:rPr>
      <w:instrText xml:space="preserve"> PAGE </w:instrText>
    </w:r>
    <w:r w:rsidR="002F3571" w:rsidRPr="002B370E">
      <w:rPr>
        <w:rStyle w:val="PageNumber"/>
        <w:sz w:val="18"/>
        <w:szCs w:val="18"/>
      </w:rPr>
      <w:fldChar w:fldCharType="separate"/>
    </w:r>
    <w:r w:rsidR="00526D5E">
      <w:rPr>
        <w:rStyle w:val="PageNumber"/>
        <w:noProof/>
        <w:sz w:val="18"/>
        <w:szCs w:val="18"/>
      </w:rPr>
      <w:t>1</w:t>
    </w:r>
    <w:r w:rsidR="002F3571" w:rsidRPr="002B370E">
      <w:rPr>
        <w:rStyle w:val="PageNumber"/>
        <w:sz w:val="18"/>
        <w:szCs w:val="18"/>
      </w:rPr>
      <w:fldChar w:fldCharType="end"/>
    </w:r>
    <w:r w:rsidR="00C06F58" w:rsidRPr="002B370E">
      <w:rPr>
        <w:rStyle w:val="PageNumber"/>
        <w:sz w:val="18"/>
        <w:szCs w:val="18"/>
      </w:rPr>
      <w:t xml:space="preserve"> of </w:t>
    </w:r>
    <w:r w:rsidR="002F3571" w:rsidRPr="002B370E">
      <w:rPr>
        <w:rStyle w:val="PageNumber"/>
        <w:sz w:val="18"/>
        <w:szCs w:val="18"/>
      </w:rPr>
      <w:fldChar w:fldCharType="begin"/>
    </w:r>
    <w:r w:rsidR="00C06F58" w:rsidRPr="002B370E">
      <w:rPr>
        <w:rStyle w:val="PageNumber"/>
        <w:sz w:val="18"/>
        <w:szCs w:val="18"/>
      </w:rPr>
      <w:instrText xml:space="preserve"> NUMPAGES </w:instrText>
    </w:r>
    <w:r w:rsidR="002F3571" w:rsidRPr="002B370E">
      <w:rPr>
        <w:rStyle w:val="PageNumber"/>
        <w:sz w:val="18"/>
        <w:szCs w:val="18"/>
      </w:rPr>
      <w:fldChar w:fldCharType="separate"/>
    </w:r>
    <w:r w:rsidR="00526D5E">
      <w:rPr>
        <w:rStyle w:val="PageNumber"/>
        <w:noProof/>
        <w:sz w:val="18"/>
        <w:szCs w:val="18"/>
      </w:rPr>
      <w:t>10</w:t>
    </w:r>
    <w:r w:rsidR="002F3571" w:rsidRPr="002B370E">
      <w:rPr>
        <w:rStyle w:val="PageNumber"/>
        <w:sz w:val="18"/>
        <w:szCs w:val="18"/>
      </w:rPr>
      <w:fldChar w:fldCharType="end"/>
    </w:r>
    <w:bookmarkStart w:id="4" w:name="_Hlt26943623"/>
    <w:bookmarkEnd w:id="4"/>
  </w:p>
  <w:p w:rsidR="00C06F58" w:rsidRPr="002B370E" w:rsidRDefault="002F3571" w:rsidP="003436FE">
    <w:pPr>
      <w:pStyle w:val="Footer"/>
      <w:tabs>
        <w:tab w:val="clear" w:pos="4320"/>
        <w:tab w:val="clear" w:pos="8640"/>
        <w:tab w:val="right" w:pos="8080"/>
      </w:tabs>
      <w:rPr>
        <w:sz w:val="18"/>
        <w:szCs w:val="18"/>
      </w:rPr>
    </w:pPr>
    <w:r w:rsidRPr="00495144">
      <w:rPr>
        <w:sz w:val="18"/>
        <w:szCs w:val="18"/>
      </w:rPr>
      <w:fldChar w:fldCharType="begin"/>
    </w:r>
    <w:r w:rsidR="00C06F58" w:rsidRPr="00495144">
      <w:rPr>
        <w:sz w:val="18"/>
        <w:szCs w:val="18"/>
      </w:rPr>
      <w:instrText xml:space="preserve"> FILENAME </w:instrText>
    </w:r>
    <w:r w:rsidRPr="00495144">
      <w:rPr>
        <w:sz w:val="18"/>
        <w:szCs w:val="18"/>
      </w:rPr>
      <w:fldChar w:fldCharType="separate"/>
    </w:r>
    <w:r w:rsidR="00C11763">
      <w:rPr>
        <w:noProof/>
        <w:sz w:val="18"/>
        <w:szCs w:val="18"/>
      </w:rPr>
      <w:t>b8o5_itt_simp_neg_en</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5E" w:rsidRDefault="00C16A5E">
      <w:r>
        <w:separator/>
      </w:r>
    </w:p>
  </w:footnote>
  <w:footnote w:type="continuationSeparator" w:id="1">
    <w:p w:rsidR="00C16A5E" w:rsidRDefault="00C16A5E">
      <w:r>
        <w:continuationSeparator/>
      </w:r>
    </w:p>
  </w:footnote>
  <w:footnote w:id="2">
    <w:p w:rsidR="0039148A" w:rsidRPr="00077483" w:rsidRDefault="000D135C" w:rsidP="00526D5E">
      <w:pPr>
        <w:spacing w:beforeLines="120" w:afterLines="60"/>
        <w:ind w:left="425"/>
        <w:contextualSpacing/>
        <w:jc w:val="both"/>
        <w:rPr>
          <w:lang w:val="en-IE"/>
        </w:rPr>
      </w:pPr>
      <w:r>
        <w:rPr>
          <w:rStyle w:val="FootnoteReference"/>
        </w:rPr>
        <w:footnoteRef/>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p w:rsidR="000D135C" w:rsidRPr="00077483" w:rsidRDefault="000D135C" w:rsidP="00AE2ECB">
      <w:pPr>
        <w:pStyle w:val="FootnoteText"/>
        <w:rPr>
          <w:lang w:val="en-IE"/>
        </w:rPr>
      </w:pPr>
    </w:p>
  </w:footnote>
  <w:footnote w:id="3">
    <w:p w:rsidR="00E240F2" w:rsidRPr="001352B5" w:rsidRDefault="00E240F2" w:rsidP="00AE2ECB">
      <w:pPr>
        <w:pStyle w:val="FootnoteText"/>
      </w:pPr>
      <w:r>
        <w:rPr>
          <w:rStyle w:val="FootnoteReference"/>
        </w:rPr>
        <w:footnoteRef/>
      </w:r>
      <w:r w:rsidRPr="00695F78">
        <w:t>It is recommended to use registered mail in case the postmark would not be readable.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3F" w:rsidRDefault="00F93E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3F" w:rsidRDefault="00F93E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nsid w:val="0D8C5ACD"/>
    <w:multiLevelType w:val="singleLevel"/>
    <w:tmpl w:val="EF5E9ED0"/>
    <w:lvl w:ilvl="0">
      <w:start w:val="4"/>
      <w:numFmt w:val="decimal"/>
      <w:lvlText w:val="%1."/>
      <w:lvlJc w:val="left"/>
      <w:pPr>
        <w:tabs>
          <w:tab w:val="num" w:pos="360"/>
        </w:tabs>
        <w:ind w:left="360" w:hanging="360"/>
      </w:pPr>
    </w:lvl>
  </w:abstractNum>
  <w:abstractNum w:abstractNumId="5">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6">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7">
    <w:nsid w:val="15B03B67"/>
    <w:multiLevelType w:val="singleLevel"/>
    <w:tmpl w:val="04090017"/>
    <w:lvl w:ilvl="0">
      <w:start w:val="1"/>
      <w:numFmt w:val="lowerLetter"/>
      <w:lvlText w:val="%1)"/>
      <w:lvlJc w:val="left"/>
      <w:pPr>
        <w:tabs>
          <w:tab w:val="num" w:pos="360"/>
        </w:tabs>
        <w:ind w:left="360" w:hanging="360"/>
      </w:pPr>
    </w:lvl>
  </w:abstractNum>
  <w:abstractNum w:abstractNumId="8">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7944E6"/>
    <w:multiLevelType w:val="singleLevel"/>
    <w:tmpl w:val="0809000F"/>
    <w:lvl w:ilvl="0">
      <w:start w:val="1"/>
      <w:numFmt w:val="decimal"/>
      <w:lvlText w:val="%1."/>
      <w:lvlJc w:val="left"/>
      <w:pPr>
        <w:tabs>
          <w:tab w:val="num" w:pos="360"/>
        </w:tabs>
        <w:ind w:left="360" w:hanging="360"/>
      </w:pPr>
    </w:lvl>
  </w:abstractNum>
  <w:abstractNum w:abstractNumId="1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1">
    <w:nsid w:val="1D28496A"/>
    <w:multiLevelType w:val="singleLevel"/>
    <w:tmpl w:val="0809000F"/>
    <w:lvl w:ilvl="0">
      <w:start w:val="1"/>
      <w:numFmt w:val="decimal"/>
      <w:lvlText w:val="%1."/>
      <w:lvlJc w:val="left"/>
      <w:pPr>
        <w:tabs>
          <w:tab w:val="num" w:pos="360"/>
        </w:tabs>
        <w:ind w:left="360" w:hanging="360"/>
      </w:pPr>
    </w:lvl>
  </w:abstractNum>
  <w:abstractNum w:abstractNumId="12">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3">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4">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6">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7">
    <w:nsid w:val="2C1143DB"/>
    <w:multiLevelType w:val="singleLevel"/>
    <w:tmpl w:val="A88E0254"/>
    <w:lvl w:ilvl="0">
      <w:start w:val="1"/>
      <w:numFmt w:val="lowerLetter"/>
      <w:lvlText w:val="%1)"/>
      <w:lvlJc w:val="left"/>
      <w:pPr>
        <w:tabs>
          <w:tab w:val="num" w:pos="360"/>
        </w:tabs>
        <w:ind w:left="360" w:hanging="360"/>
      </w:pPr>
    </w:lvl>
  </w:abstractNum>
  <w:abstractNum w:abstractNumId="18">
    <w:nsid w:val="308F1E72"/>
    <w:multiLevelType w:val="singleLevel"/>
    <w:tmpl w:val="04090017"/>
    <w:lvl w:ilvl="0">
      <w:start w:val="1"/>
      <w:numFmt w:val="lowerLetter"/>
      <w:lvlText w:val="%1)"/>
      <w:lvlJc w:val="left"/>
      <w:pPr>
        <w:tabs>
          <w:tab w:val="num" w:pos="360"/>
        </w:tabs>
        <w:ind w:left="360" w:hanging="360"/>
      </w:pPr>
    </w:lvl>
  </w:abstractNum>
  <w:abstractNum w:abstractNumId="19">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24">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6">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8">
    <w:nsid w:val="476F2497"/>
    <w:multiLevelType w:val="singleLevel"/>
    <w:tmpl w:val="C0E47794"/>
    <w:lvl w:ilvl="0">
      <w:start w:val="9"/>
      <w:numFmt w:val="lowerLetter"/>
      <w:lvlText w:val="%1)"/>
      <w:lvlJc w:val="left"/>
      <w:pPr>
        <w:tabs>
          <w:tab w:val="num" w:pos="360"/>
        </w:tabs>
        <w:ind w:left="360" w:hanging="360"/>
      </w:pPr>
    </w:lvl>
  </w:abstractNum>
  <w:abstractNum w:abstractNumId="29">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5">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8">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9">
    <w:nsid w:val="6CC52008"/>
    <w:multiLevelType w:val="singleLevel"/>
    <w:tmpl w:val="0809000F"/>
    <w:lvl w:ilvl="0">
      <w:start w:val="1"/>
      <w:numFmt w:val="decimal"/>
      <w:lvlText w:val="%1."/>
      <w:lvlJc w:val="left"/>
      <w:pPr>
        <w:tabs>
          <w:tab w:val="num" w:pos="360"/>
        </w:tabs>
        <w:ind w:left="360" w:hanging="360"/>
      </w:pPr>
    </w:lvl>
  </w:abstractNum>
  <w:abstractNum w:abstractNumId="4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1">
    <w:nsid w:val="72934CD2"/>
    <w:multiLevelType w:val="singleLevel"/>
    <w:tmpl w:val="0409000F"/>
    <w:lvl w:ilvl="0">
      <w:start w:val="1"/>
      <w:numFmt w:val="decimal"/>
      <w:lvlText w:val="%1."/>
      <w:lvlJc w:val="left"/>
      <w:pPr>
        <w:tabs>
          <w:tab w:val="num" w:pos="360"/>
        </w:tabs>
        <w:ind w:left="360" w:hanging="360"/>
      </w:pPr>
    </w:lvl>
  </w:abstractNum>
  <w:abstractNum w:abstractNumId="42">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3">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79F15DEF"/>
    <w:multiLevelType w:val="singleLevel"/>
    <w:tmpl w:val="D034F912"/>
    <w:lvl w:ilvl="0">
      <w:start w:val="1"/>
      <w:numFmt w:val="decimal"/>
      <w:lvlText w:val="%1)"/>
      <w:legacy w:legacy="1" w:legacySpace="0" w:legacyIndent="360"/>
      <w:lvlJc w:val="left"/>
      <w:pPr>
        <w:ind w:left="3195" w:hanging="360"/>
      </w:pPr>
    </w:lvl>
  </w:abstractNum>
  <w:abstractNum w:abstractNumId="46">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7">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8">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6"/>
  </w:num>
  <w:num w:numId="4">
    <w:abstractNumId w:val="7"/>
  </w:num>
  <w:num w:numId="5">
    <w:abstractNumId w:val="39"/>
  </w:num>
  <w:num w:numId="6">
    <w:abstractNumId w:val="11"/>
  </w:num>
  <w:num w:numId="7">
    <w:abstractNumId w:val="13"/>
  </w:num>
  <w:num w:numId="8">
    <w:abstractNumId w:val="10"/>
  </w:num>
  <w:num w:numId="9">
    <w:abstractNumId w:val="3"/>
  </w:num>
  <w:num w:numId="10">
    <w:abstractNumId w:val="27"/>
  </w:num>
  <w:num w:numId="11">
    <w:abstractNumId w:val="46"/>
  </w:num>
  <w:num w:numId="12">
    <w:abstractNumId w:val="16"/>
  </w:num>
  <w:num w:numId="13">
    <w:abstractNumId w:val="2"/>
  </w:num>
  <w:num w:numId="14">
    <w:abstractNumId w:val="12"/>
  </w:num>
  <w:num w:numId="15">
    <w:abstractNumId w:val="34"/>
  </w:num>
  <w:num w:numId="16">
    <w:abstractNumId w:val="5"/>
  </w:num>
  <w:num w:numId="17">
    <w:abstractNumId w:val="23"/>
  </w:num>
  <w:num w:numId="18">
    <w:abstractNumId w:val="25"/>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0"/>
  </w:num>
  <w:num w:numId="21">
    <w:abstractNumId w:val="28"/>
  </w:num>
  <w:num w:numId="22">
    <w:abstractNumId w:val="4"/>
  </w:num>
  <w:num w:numId="23">
    <w:abstractNumId w:val="41"/>
  </w:num>
  <w:num w:numId="24">
    <w:abstractNumId w:val="37"/>
  </w:num>
  <w:num w:numId="25">
    <w:abstractNumId w:val="15"/>
  </w:num>
  <w:num w:numId="26">
    <w:abstractNumId w:val="38"/>
  </w:num>
  <w:num w:numId="27">
    <w:abstractNumId w:val="17"/>
  </w:num>
  <w:num w:numId="28">
    <w:abstractNumId w:val="29"/>
  </w:num>
  <w:num w:numId="29">
    <w:abstractNumId w:val="18"/>
  </w:num>
  <w:num w:numId="30">
    <w:abstractNumId w:val="42"/>
  </w:num>
  <w:num w:numId="31">
    <w:abstractNumId w:val="19"/>
  </w:num>
  <w:num w:numId="32">
    <w:abstractNumId w:val="47"/>
  </w:num>
  <w:num w:numId="33">
    <w:abstractNumId w:val="35"/>
  </w:num>
  <w:num w:numId="34">
    <w:abstractNumId w:val="22"/>
  </w:num>
  <w:num w:numId="35">
    <w:abstractNumId w:val="21"/>
  </w:num>
  <w:num w:numId="36">
    <w:abstractNumId w:val="32"/>
  </w:num>
  <w:num w:numId="37">
    <w:abstractNumId w:val="36"/>
  </w:num>
  <w:num w:numId="38">
    <w:abstractNumId w:val="45"/>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3"/>
  </w:num>
  <w:num w:numId="41">
    <w:abstractNumId w:val="14"/>
  </w:num>
  <w:num w:numId="42">
    <w:abstractNumId w:val="26"/>
  </w:num>
  <w:num w:numId="43">
    <w:abstractNumId w:val="8"/>
  </w:num>
  <w:num w:numId="44">
    <w:abstractNumId w:val="44"/>
  </w:num>
  <w:num w:numId="45">
    <w:abstractNumId w:val="20"/>
  </w:num>
  <w:num w:numId="46">
    <w:abstractNumId w:val="48"/>
  </w:num>
  <w:num w:numId="47">
    <w:abstractNumId w:val="43"/>
  </w:num>
  <w:num w:numId="48">
    <w:abstractNumId w:val="1"/>
  </w:num>
  <w:num w:numId="49">
    <w:abstractNumId w:val="31"/>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D550F2"/>
    <w:rsid w:val="00010683"/>
    <w:rsid w:val="00014502"/>
    <w:rsid w:val="0004095E"/>
    <w:rsid w:val="00047F95"/>
    <w:rsid w:val="000544E6"/>
    <w:rsid w:val="000570D7"/>
    <w:rsid w:val="00057A21"/>
    <w:rsid w:val="000607F7"/>
    <w:rsid w:val="000626CB"/>
    <w:rsid w:val="00076EEC"/>
    <w:rsid w:val="00077483"/>
    <w:rsid w:val="0009029D"/>
    <w:rsid w:val="000913E8"/>
    <w:rsid w:val="000955FE"/>
    <w:rsid w:val="000A7073"/>
    <w:rsid w:val="000C5425"/>
    <w:rsid w:val="000D135C"/>
    <w:rsid w:val="000D183D"/>
    <w:rsid w:val="000F0B96"/>
    <w:rsid w:val="00110401"/>
    <w:rsid w:val="00121005"/>
    <w:rsid w:val="0012485F"/>
    <w:rsid w:val="00137809"/>
    <w:rsid w:val="0014136C"/>
    <w:rsid w:val="001449AE"/>
    <w:rsid w:val="00157CF6"/>
    <w:rsid w:val="001671BA"/>
    <w:rsid w:val="0017009E"/>
    <w:rsid w:val="00180127"/>
    <w:rsid w:val="001A3A06"/>
    <w:rsid w:val="001A7BA0"/>
    <w:rsid w:val="001B1598"/>
    <w:rsid w:val="001B2CA6"/>
    <w:rsid w:val="001C0F8D"/>
    <w:rsid w:val="001C391F"/>
    <w:rsid w:val="001C584F"/>
    <w:rsid w:val="001D34F9"/>
    <w:rsid w:val="001D579A"/>
    <w:rsid w:val="001E5AB3"/>
    <w:rsid w:val="001F750F"/>
    <w:rsid w:val="002157AA"/>
    <w:rsid w:val="00216E18"/>
    <w:rsid w:val="0021784A"/>
    <w:rsid w:val="002231C0"/>
    <w:rsid w:val="0022643A"/>
    <w:rsid w:val="00226F79"/>
    <w:rsid w:val="0023505C"/>
    <w:rsid w:val="00235253"/>
    <w:rsid w:val="00245C38"/>
    <w:rsid w:val="00250B09"/>
    <w:rsid w:val="00264E26"/>
    <w:rsid w:val="00270AC9"/>
    <w:rsid w:val="00273362"/>
    <w:rsid w:val="00290ACC"/>
    <w:rsid w:val="002921F7"/>
    <w:rsid w:val="00294800"/>
    <w:rsid w:val="002A1587"/>
    <w:rsid w:val="002B0E84"/>
    <w:rsid w:val="002B75E8"/>
    <w:rsid w:val="002C2852"/>
    <w:rsid w:val="002F1241"/>
    <w:rsid w:val="002F3571"/>
    <w:rsid w:val="002F6273"/>
    <w:rsid w:val="0030208E"/>
    <w:rsid w:val="003121C6"/>
    <w:rsid w:val="003436FE"/>
    <w:rsid w:val="00346F79"/>
    <w:rsid w:val="00376372"/>
    <w:rsid w:val="00376940"/>
    <w:rsid w:val="0037753A"/>
    <w:rsid w:val="00381AB8"/>
    <w:rsid w:val="0039148A"/>
    <w:rsid w:val="003924DF"/>
    <w:rsid w:val="003925C5"/>
    <w:rsid w:val="00396D4A"/>
    <w:rsid w:val="00397B28"/>
    <w:rsid w:val="003C5C2B"/>
    <w:rsid w:val="003C773B"/>
    <w:rsid w:val="003E309F"/>
    <w:rsid w:val="003E6551"/>
    <w:rsid w:val="003F1262"/>
    <w:rsid w:val="003F2D75"/>
    <w:rsid w:val="003F4AB5"/>
    <w:rsid w:val="003F7035"/>
    <w:rsid w:val="00407F7F"/>
    <w:rsid w:val="00412107"/>
    <w:rsid w:val="00417586"/>
    <w:rsid w:val="00430572"/>
    <w:rsid w:val="00451767"/>
    <w:rsid w:val="004530E4"/>
    <w:rsid w:val="00453651"/>
    <w:rsid w:val="004551A2"/>
    <w:rsid w:val="00463A51"/>
    <w:rsid w:val="0048664A"/>
    <w:rsid w:val="00491B4A"/>
    <w:rsid w:val="00493F98"/>
    <w:rsid w:val="00495144"/>
    <w:rsid w:val="00496641"/>
    <w:rsid w:val="00497FEF"/>
    <w:rsid w:val="004A544F"/>
    <w:rsid w:val="004B4C09"/>
    <w:rsid w:val="004C100C"/>
    <w:rsid w:val="004D0FE4"/>
    <w:rsid w:val="004D2399"/>
    <w:rsid w:val="004D7FC9"/>
    <w:rsid w:val="004E248D"/>
    <w:rsid w:val="004F088B"/>
    <w:rsid w:val="0050626C"/>
    <w:rsid w:val="005147FC"/>
    <w:rsid w:val="00516809"/>
    <w:rsid w:val="00517439"/>
    <w:rsid w:val="00523E60"/>
    <w:rsid w:val="00526546"/>
    <w:rsid w:val="00526D5E"/>
    <w:rsid w:val="00543D27"/>
    <w:rsid w:val="00545A56"/>
    <w:rsid w:val="00550AC9"/>
    <w:rsid w:val="005510F3"/>
    <w:rsid w:val="0056210A"/>
    <w:rsid w:val="0056414B"/>
    <w:rsid w:val="0057362C"/>
    <w:rsid w:val="00574DD1"/>
    <w:rsid w:val="00575ECB"/>
    <w:rsid w:val="00577681"/>
    <w:rsid w:val="00582292"/>
    <w:rsid w:val="005834A6"/>
    <w:rsid w:val="0059570B"/>
    <w:rsid w:val="005B2947"/>
    <w:rsid w:val="005C1E9E"/>
    <w:rsid w:val="005C44AA"/>
    <w:rsid w:val="005D1583"/>
    <w:rsid w:val="005D2BA9"/>
    <w:rsid w:val="005D3D9E"/>
    <w:rsid w:val="005D6CCF"/>
    <w:rsid w:val="005E1325"/>
    <w:rsid w:val="005E5F2A"/>
    <w:rsid w:val="005F1DD5"/>
    <w:rsid w:val="00612B67"/>
    <w:rsid w:val="0062173A"/>
    <w:rsid w:val="00621EEC"/>
    <w:rsid w:val="00622D49"/>
    <w:rsid w:val="0062677E"/>
    <w:rsid w:val="00632671"/>
    <w:rsid w:val="006365A9"/>
    <w:rsid w:val="006773D0"/>
    <w:rsid w:val="0068123D"/>
    <w:rsid w:val="00681768"/>
    <w:rsid w:val="00681895"/>
    <w:rsid w:val="00682D24"/>
    <w:rsid w:val="006835B2"/>
    <w:rsid w:val="0068577A"/>
    <w:rsid w:val="00687AA2"/>
    <w:rsid w:val="00694874"/>
    <w:rsid w:val="006A1537"/>
    <w:rsid w:val="006B0775"/>
    <w:rsid w:val="006B373C"/>
    <w:rsid w:val="006C4BA3"/>
    <w:rsid w:val="006D3D4B"/>
    <w:rsid w:val="006E0499"/>
    <w:rsid w:val="006F15C1"/>
    <w:rsid w:val="006F25A2"/>
    <w:rsid w:val="006F5D6C"/>
    <w:rsid w:val="006F6361"/>
    <w:rsid w:val="007078C5"/>
    <w:rsid w:val="00707FA2"/>
    <w:rsid w:val="00740B27"/>
    <w:rsid w:val="0075374A"/>
    <w:rsid w:val="00753CEB"/>
    <w:rsid w:val="00761621"/>
    <w:rsid w:val="007639DA"/>
    <w:rsid w:val="00763C86"/>
    <w:rsid w:val="00775D25"/>
    <w:rsid w:val="007A0123"/>
    <w:rsid w:val="007B1D4B"/>
    <w:rsid w:val="007B7D7B"/>
    <w:rsid w:val="007D2026"/>
    <w:rsid w:val="007E285C"/>
    <w:rsid w:val="007F760C"/>
    <w:rsid w:val="00804556"/>
    <w:rsid w:val="00805702"/>
    <w:rsid w:val="008100D6"/>
    <w:rsid w:val="00813BCA"/>
    <w:rsid w:val="00835BD1"/>
    <w:rsid w:val="00843423"/>
    <w:rsid w:val="008531BA"/>
    <w:rsid w:val="00854CFF"/>
    <w:rsid w:val="00854F57"/>
    <w:rsid w:val="00855F72"/>
    <w:rsid w:val="0086089C"/>
    <w:rsid w:val="0086581B"/>
    <w:rsid w:val="00870B5F"/>
    <w:rsid w:val="008851E7"/>
    <w:rsid w:val="00892C69"/>
    <w:rsid w:val="0089466D"/>
    <w:rsid w:val="00895B9A"/>
    <w:rsid w:val="008A2426"/>
    <w:rsid w:val="008E5B25"/>
    <w:rsid w:val="008E5D9D"/>
    <w:rsid w:val="009021F5"/>
    <w:rsid w:val="0090576D"/>
    <w:rsid w:val="009063CE"/>
    <w:rsid w:val="00917284"/>
    <w:rsid w:val="00921CBA"/>
    <w:rsid w:val="00927456"/>
    <w:rsid w:val="00937074"/>
    <w:rsid w:val="009426BD"/>
    <w:rsid w:val="009436A4"/>
    <w:rsid w:val="00957CA3"/>
    <w:rsid w:val="00965C99"/>
    <w:rsid w:val="00987220"/>
    <w:rsid w:val="00987C6C"/>
    <w:rsid w:val="00996707"/>
    <w:rsid w:val="009A3E62"/>
    <w:rsid w:val="009A733A"/>
    <w:rsid w:val="009B1C05"/>
    <w:rsid w:val="009B3FFF"/>
    <w:rsid w:val="009B605A"/>
    <w:rsid w:val="009C30D7"/>
    <w:rsid w:val="009C7BD6"/>
    <w:rsid w:val="009D164C"/>
    <w:rsid w:val="009D5E0F"/>
    <w:rsid w:val="009F5616"/>
    <w:rsid w:val="009F5E7A"/>
    <w:rsid w:val="00A00C4C"/>
    <w:rsid w:val="00A02F0C"/>
    <w:rsid w:val="00A06BCE"/>
    <w:rsid w:val="00A165D1"/>
    <w:rsid w:val="00A33091"/>
    <w:rsid w:val="00A40B36"/>
    <w:rsid w:val="00A42171"/>
    <w:rsid w:val="00A46809"/>
    <w:rsid w:val="00A54A42"/>
    <w:rsid w:val="00A612F3"/>
    <w:rsid w:val="00A6538D"/>
    <w:rsid w:val="00A72FB1"/>
    <w:rsid w:val="00A76872"/>
    <w:rsid w:val="00A81096"/>
    <w:rsid w:val="00A82C40"/>
    <w:rsid w:val="00A90345"/>
    <w:rsid w:val="00A94AD3"/>
    <w:rsid w:val="00A94F07"/>
    <w:rsid w:val="00AA3043"/>
    <w:rsid w:val="00AB28DE"/>
    <w:rsid w:val="00AB326E"/>
    <w:rsid w:val="00AB5C71"/>
    <w:rsid w:val="00AB7549"/>
    <w:rsid w:val="00AC0002"/>
    <w:rsid w:val="00AC5E60"/>
    <w:rsid w:val="00AD2FEE"/>
    <w:rsid w:val="00AD6A02"/>
    <w:rsid w:val="00AE2ECB"/>
    <w:rsid w:val="00AF6806"/>
    <w:rsid w:val="00B2110A"/>
    <w:rsid w:val="00B21495"/>
    <w:rsid w:val="00B215EE"/>
    <w:rsid w:val="00B2430B"/>
    <w:rsid w:val="00B33686"/>
    <w:rsid w:val="00B36721"/>
    <w:rsid w:val="00B370D2"/>
    <w:rsid w:val="00B37C11"/>
    <w:rsid w:val="00B45C9F"/>
    <w:rsid w:val="00B4697A"/>
    <w:rsid w:val="00B5592A"/>
    <w:rsid w:val="00B806A1"/>
    <w:rsid w:val="00B856E6"/>
    <w:rsid w:val="00B860B0"/>
    <w:rsid w:val="00B90E85"/>
    <w:rsid w:val="00B9416D"/>
    <w:rsid w:val="00BA15F8"/>
    <w:rsid w:val="00BA4FCD"/>
    <w:rsid w:val="00BB6C9D"/>
    <w:rsid w:val="00BC1214"/>
    <w:rsid w:val="00BC1D32"/>
    <w:rsid w:val="00BC3DB7"/>
    <w:rsid w:val="00BC415F"/>
    <w:rsid w:val="00BC7014"/>
    <w:rsid w:val="00BD5B00"/>
    <w:rsid w:val="00BE2505"/>
    <w:rsid w:val="00BE7CAF"/>
    <w:rsid w:val="00BF01CC"/>
    <w:rsid w:val="00BF0BD3"/>
    <w:rsid w:val="00C06F58"/>
    <w:rsid w:val="00C11763"/>
    <w:rsid w:val="00C16A5E"/>
    <w:rsid w:val="00C2286C"/>
    <w:rsid w:val="00C2541E"/>
    <w:rsid w:val="00C3216F"/>
    <w:rsid w:val="00C330E1"/>
    <w:rsid w:val="00C33368"/>
    <w:rsid w:val="00C372F3"/>
    <w:rsid w:val="00C40CD0"/>
    <w:rsid w:val="00C46545"/>
    <w:rsid w:val="00C52EDE"/>
    <w:rsid w:val="00C53A7B"/>
    <w:rsid w:val="00C55903"/>
    <w:rsid w:val="00C66F02"/>
    <w:rsid w:val="00C91765"/>
    <w:rsid w:val="00C96392"/>
    <w:rsid w:val="00CB41B8"/>
    <w:rsid w:val="00CC396F"/>
    <w:rsid w:val="00CE5895"/>
    <w:rsid w:val="00CF2B5B"/>
    <w:rsid w:val="00D17879"/>
    <w:rsid w:val="00D26233"/>
    <w:rsid w:val="00D32C37"/>
    <w:rsid w:val="00D4050F"/>
    <w:rsid w:val="00D44374"/>
    <w:rsid w:val="00D475F9"/>
    <w:rsid w:val="00D5088F"/>
    <w:rsid w:val="00D550F2"/>
    <w:rsid w:val="00D60D73"/>
    <w:rsid w:val="00D63250"/>
    <w:rsid w:val="00D66CD2"/>
    <w:rsid w:val="00D71D48"/>
    <w:rsid w:val="00D75BA0"/>
    <w:rsid w:val="00D86F6D"/>
    <w:rsid w:val="00DA7EF8"/>
    <w:rsid w:val="00DB3975"/>
    <w:rsid w:val="00DB4711"/>
    <w:rsid w:val="00DE1210"/>
    <w:rsid w:val="00DE5160"/>
    <w:rsid w:val="00E03510"/>
    <w:rsid w:val="00E07245"/>
    <w:rsid w:val="00E13546"/>
    <w:rsid w:val="00E1767B"/>
    <w:rsid w:val="00E222AD"/>
    <w:rsid w:val="00E2244D"/>
    <w:rsid w:val="00E22E88"/>
    <w:rsid w:val="00E240F2"/>
    <w:rsid w:val="00E33957"/>
    <w:rsid w:val="00E46553"/>
    <w:rsid w:val="00E8191A"/>
    <w:rsid w:val="00E84A51"/>
    <w:rsid w:val="00EA3293"/>
    <w:rsid w:val="00EA439A"/>
    <w:rsid w:val="00EA447A"/>
    <w:rsid w:val="00EA557A"/>
    <w:rsid w:val="00EA6B94"/>
    <w:rsid w:val="00EA7CAB"/>
    <w:rsid w:val="00EA7FAC"/>
    <w:rsid w:val="00EB1484"/>
    <w:rsid w:val="00EB2BC7"/>
    <w:rsid w:val="00EC2853"/>
    <w:rsid w:val="00EC59C8"/>
    <w:rsid w:val="00ED0499"/>
    <w:rsid w:val="00ED3110"/>
    <w:rsid w:val="00EE5A83"/>
    <w:rsid w:val="00EF67ED"/>
    <w:rsid w:val="00F00530"/>
    <w:rsid w:val="00F11E9B"/>
    <w:rsid w:val="00F16667"/>
    <w:rsid w:val="00F21243"/>
    <w:rsid w:val="00F256F4"/>
    <w:rsid w:val="00F25A3C"/>
    <w:rsid w:val="00F45887"/>
    <w:rsid w:val="00F53979"/>
    <w:rsid w:val="00F54298"/>
    <w:rsid w:val="00F625AB"/>
    <w:rsid w:val="00F7552A"/>
    <w:rsid w:val="00F80338"/>
    <w:rsid w:val="00F848DA"/>
    <w:rsid w:val="00F93E3F"/>
    <w:rsid w:val="00FD15B8"/>
    <w:rsid w:val="00FD542C"/>
    <w:rsid w:val="00FE488F"/>
    <w:rsid w:val="00FE58EE"/>
    <w:rsid w:val="00FF1FE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D27"/>
    <w:rPr>
      <w:lang w:val="en-GB" w:eastAsia="en-GB"/>
    </w:rPr>
  </w:style>
  <w:style w:type="paragraph" w:styleId="Heading1">
    <w:name w:val="heading 1"/>
    <w:basedOn w:val="Normal"/>
    <w:next w:val="Normal"/>
    <w:qFormat/>
    <w:rsid w:val="00854F57"/>
    <w:pPr>
      <w:keepNext/>
      <w:spacing w:before="240"/>
      <w:jc w:val="center"/>
      <w:outlineLvl w:val="0"/>
    </w:pPr>
    <w:rPr>
      <w:b/>
      <w:sz w:val="24"/>
      <w:lang w:val="fr-BE"/>
    </w:rPr>
  </w:style>
  <w:style w:type="paragraph" w:styleId="Heading2">
    <w:name w:val="heading 2"/>
    <w:basedOn w:val="Normal"/>
    <w:next w:val="Normal"/>
    <w:qFormat/>
    <w:rsid w:val="00854F57"/>
    <w:pPr>
      <w:keepNext/>
      <w:tabs>
        <w:tab w:val="left" w:pos="426"/>
      </w:tabs>
      <w:outlineLvl w:val="1"/>
    </w:pPr>
    <w:rPr>
      <w:sz w:val="24"/>
      <w:lang w:val="fr-BE"/>
    </w:rPr>
  </w:style>
  <w:style w:type="paragraph" w:styleId="Heading3">
    <w:name w:val="heading 3"/>
    <w:basedOn w:val="Normal"/>
    <w:next w:val="Normal"/>
    <w:qFormat/>
    <w:rsid w:val="00854F57"/>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4F57"/>
    <w:pPr>
      <w:jc w:val="center"/>
    </w:pPr>
    <w:rPr>
      <w:b/>
      <w:sz w:val="28"/>
      <w:lang w:val="fr-BE"/>
    </w:rPr>
  </w:style>
  <w:style w:type="paragraph" w:styleId="Subtitle">
    <w:name w:val="Subtitle"/>
    <w:basedOn w:val="Normal"/>
    <w:qFormat/>
    <w:rsid w:val="00854F57"/>
    <w:pPr>
      <w:jc w:val="center"/>
    </w:pPr>
    <w:rPr>
      <w:b/>
      <w:sz w:val="28"/>
      <w:lang w:val="fr-BE"/>
    </w:rPr>
  </w:style>
  <w:style w:type="paragraph" w:styleId="BodyTextIndent">
    <w:name w:val="Body Text Indent"/>
    <w:basedOn w:val="Normal"/>
    <w:rsid w:val="00854F57"/>
    <w:pPr>
      <w:tabs>
        <w:tab w:val="left" w:pos="567"/>
      </w:tabs>
      <w:spacing w:after="120"/>
      <w:ind w:left="567" w:hanging="567"/>
      <w:jc w:val="both"/>
    </w:pPr>
    <w:rPr>
      <w:sz w:val="24"/>
    </w:rPr>
  </w:style>
  <w:style w:type="paragraph" w:styleId="BodyText">
    <w:name w:val="Body Text"/>
    <w:basedOn w:val="Normal"/>
    <w:link w:val="BodyTextChar"/>
    <w:rsid w:val="00854F57"/>
    <w:rPr>
      <w:sz w:val="24"/>
    </w:rPr>
  </w:style>
  <w:style w:type="paragraph" w:styleId="BodyTextIndent2">
    <w:name w:val="Body Text Indent 2"/>
    <w:basedOn w:val="Normal"/>
    <w:rsid w:val="00854F57"/>
    <w:pPr>
      <w:tabs>
        <w:tab w:val="num" w:pos="567"/>
        <w:tab w:val="num" w:pos="2160"/>
      </w:tabs>
      <w:spacing w:after="240"/>
      <w:ind w:left="567" w:hanging="567"/>
      <w:jc w:val="both"/>
    </w:pPr>
    <w:rPr>
      <w:sz w:val="24"/>
      <w:u w:val="single"/>
    </w:rPr>
  </w:style>
  <w:style w:type="paragraph" w:styleId="BodyTextIndent3">
    <w:name w:val="Body Text Indent 3"/>
    <w:basedOn w:val="Normal"/>
    <w:rsid w:val="00854F57"/>
    <w:pPr>
      <w:tabs>
        <w:tab w:val="left" w:pos="1276"/>
      </w:tabs>
      <w:spacing w:after="120"/>
      <w:ind w:left="1276" w:hanging="425"/>
      <w:jc w:val="both"/>
    </w:pPr>
    <w:rPr>
      <w:sz w:val="24"/>
    </w:rPr>
  </w:style>
  <w:style w:type="paragraph" w:styleId="BodyText2">
    <w:name w:val="Body Text 2"/>
    <w:basedOn w:val="Normal"/>
    <w:link w:val="BodyText2Char"/>
    <w:rsid w:val="00854F57"/>
    <w:pPr>
      <w:tabs>
        <w:tab w:val="num" w:pos="567"/>
      </w:tabs>
      <w:jc w:val="both"/>
    </w:pPr>
    <w:rPr>
      <w:sz w:val="24"/>
    </w:rPr>
  </w:style>
  <w:style w:type="paragraph" w:customStyle="1" w:styleId="Text3">
    <w:name w:val="Text 3"/>
    <w:basedOn w:val="Normal"/>
    <w:rsid w:val="00854F57"/>
    <w:pPr>
      <w:tabs>
        <w:tab w:val="left" w:pos="2302"/>
      </w:tabs>
      <w:spacing w:after="240"/>
      <w:ind w:left="1202"/>
      <w:jc w:val="both"/>
    </w:pPr>
    <w:rPr>
      <w:sz w:val="24"/>
    </w:rPr>
  </w:style>
  <w:style w:type="paragraph" w:styleId="Header">
    <w:name w:val="header"/>
    <w:basedOn w:val="Normal"/>
    <w:rsid w:val="00854F57"/>
    <w:pPr>
      <w:tabs>
        <w:tab w:val="center" w:pos="4320"/>
        <w:tab w:val="right" w:pos="8640"/>
      </w:tabs>
    </w:pPr>
  </w:style>
  <w:style w:type="paragraph" w:styleId="Footer">
    <w:name w:val="footer"/>
    <w:basedOn w:val="Normal"/>
    <w:rsid w:val="00854F57"/>
    <w:pPr>
      <w:tabs>
        <w:tab w:val="center" w:pos="4320"/>
        <w:tab w:val="right" w:pos="8640"/>
      </w:tabs>
    </w:pPr>
  </w:style>
  <w:style w:type="character" w:styleId="PageNumber">
    <w:name w:val="page number"/>
    <w:basedOn w:val="DefaultParagraphFont"/>
    <w:rsid w:val="00854F57"/>
  </w:style>
  <w:style w:type="paragraph" w:styleId="BodyText3">
    <w:name w:val="Body Text 3"/>
    <w:basedOn w:val="Normal"/>
    <w:rsid w:val="00854F57"/>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854F57"/>
    <w:rPr>
      <w:color w:val="0000FF"/>
      <w:u w:val="single"/>
    </w:rPr>
  </w:style>
  <w:style w:type="paragraph" w:customStyle="1" w:styleId="Blockquote">
    <w:name w:val="Blockquote"/>
    <w:basedOn w:val="Normal"/>
    <w:rsid w:val="00854F57"/>
    <w:pPr>
      <w:widowControl w:val="0"/>
      <w:spacing w:before="100" w:after="100"/>
      <w:ind w:left="360" w:right="360"/>
    </w:pPr>
    <w:rPr>
      <w:snapToGrid w:val="0"/>
      <w:sz w:val="24"/>
      <w:lang w:val="en-US" w:eastAsia="en-US"/>
    </w:rPr>
  </w:style>
  <w:style w:type="character" w:styleId="Emphasis">
    <w:name w:val="Emphasis"/>
    <w:uiPriority w:val="20"/>
    <w:qFormat/>
    <w:rsid w:val="00854F57"/>
    <w:rPr>
      <w:i/>
    </w:rPr>
  </w:style>
  <w:style w:type="character" w:styleId="Strong">
    <w:name w:val="Strong"/>
    <w:qFormat/>
    <w:rsid w:val="00854F57"/>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2ECB"/>
    <w:pPr>
      <w:spacing w:after="60"/>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2ECB"/>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48"/>
      </w:numPr>
      <w:jc w:val="both"/>
    </w:pPr>
    <w:rPr>
      <w:sz w:val="24"/>
      <w:szCs w:val="24"/>
    </w:rPr>
  </w:style>
  <w:style w:type="character" w:customStyle="1" w:styleId="NumberedChar">
    <w:name w:val="Numbered Char"/>
    <w:link w:val="Numbered"/>
    <w:rsid w:val="00A76872"/>
    <w:rPr>
      <w:sz w:val="24"/>
      <w:szCs w:val="24"/>
    </w:rPr>
  </w:style>
  <w:style w:type="character" w:customStyle="1" w:styleId="longtext">
    <w:name w:val="long_text"/>
    <w:rsid w:val="002231C0"/>
  </w:style>
  <w:style w:type="character" w:customStyle="1" w:styleId="hps">
    <w:name w:val="hps"/>
    <w:rsid w:val="002231C0"/>
  </w:style>
  <w:style w:type="character" w:customStyle="1" w:styleId="atn">
    <w:name w:val="atn"/>
    <w:rsid w:val="002231C0"/>
  </w:style>
</w:styles>
</file>

<file path=word/webSettings.xml><?xml version="1.0" encoding="utf-8"?>
<w:webSettings xmlns:r="http://schemas.openxmlformats.org/officeDocument/2006/relationships" xmlns:w="http://schemas.openxmlformats.org/wordprocessingml/2006/main">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document.d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c.europa.eu/europeaid/prag/document.d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13431-C5A7-43A8-B691-A30FEAED8C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19C9AE-53DE-478C-BA1F-42381613FECD}">
  <ds:schemaRefs>
    <ds:schemaRef ds:uri="http://schemas.microsoft.com/sharepoint/v3/contenttype/forms"/>
  </ds:schemaRefs>
</ds:datastoreItem>
</file>

<file path=customXml/itemProps3.xml><?xml version="1.0" encoding="utf-8"?>
<ds:datastoreItem xmlns:ds="http://schemas.openxmlformats.org/officeDocument/2006/customXml" ds:itemID="{163C2065-57E1-423A-80DB-E7B934117661}">
  <ds:schemaRefs>
    <ds:schemaRef ds:uri="http://schemas.openxmlformats.org/officeDocument/2006/bibliography"/>
  </ds:schemaRefs>
</ds:datastoreItem>
</file>

<file path=customXml/itemProps4.xml><?xml version="1.0" encoding="utf-8"?>
<ds:datastoreItem xmlns:ds="http://schemas.openxmlformats.org/officeDocument/2006/customXml" ds:itemID="{FC0F009D-7167-402B-A241-E1BF0533F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10</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26880</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60</cp:revision>
  <cp:lastPrinted>2024-11-12T08:01:00Z</cp:lastPrinted>
  <dcterms:created xsi:type="dcterms:W3CDTF">2021-02-15T21:36:00Z</dcterms:created>
  <dcterms:modified xsi:type="dcterms:W3CDTF">2024-11-12T08:05:00Z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0x010100724FDE23FB365D4CB8B2901107175F9F</vt:lpwstr>
  </property>
</Properties>
</file>